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4197" w14:textId="6A2C3D7E" w:rsidR="004C1E79" w:rsidRDefault="004C1E79" w:rsidP="00B92A4B">
      <w:pPr>
        <w:jc w:val="center"/>
        <w:rPr>
          <w:rFonts w:ascii="Arial" w:hAnsi="Arial" w:cs="Arial"/>
          <w:b/>
          <w:iCs/>
          <w:sz w:val="26"/>
          <w:szCs w:val="26"/>
        </w:rPr>
      </w:pPr>
      <w:r w:rsidRPr="004C1E79">
        <w:rPr>
          <w:rFonts w:ascii="Arial" w:hAnsi="Arial" w:cs="Arial"/>
          <w:b/>
          <w:iCs/>
          <w:sz w:val="26"/>
          <w:szCs w:val="26"/>
        </w:rPr>
        <w:t xml:space="preserve">Outline of </w:t>
      </w:r>
      <w:r w:rsidR="00B92A4B" w:rsidRPr="004C1E79">
        <w:rPr>
          <w:rFonts w:ascii="Arial" w:hAnsi="Arial" w:cs="Arial"/>
          <w:b/>
          <w:iCs/>
          <w:sz w:val="26"/>
          <w:szCs w:val="26"/>
        </w:rPr>
        <w:t xml:space="preserve">suggested structure of submissions for bail </w:t>
      </w:r>
      <w:r w:rsidRPr="004C1E79">
        <w:rPr>
          <w:rFonts w:ascii="Arial" w:hAnsi="Arial" w:cs="Arial"/>
          <w:b/>
          <w:iCs/>
          <w:sz w:val="26"/>
          <w:szCs w:val="26"/>
        </w:rPr>
        <w:t>in NSW</w:t>
      </w:r>
    </w:p>
    <w:p w14:paraId="5ED31E18" w14:textId="63F1433A" w:rsidR="0064404D" w:rsidRDefault="0064404D" w:rsidP="00B92A4B">
      <w:pPr>
        <w:rPr>
          <w:rFonts w:ascii="Arial" w:hAnsi="Arial" w:cs="Arial"/>
          <w:b/>
          <w:iCs/>
          <w:sz w:val="26"/>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8"/>
      </w:tblGrid>
      <w:tr w:rsidR="00D24A06" w14:paraId="1A40BE5E" w14:textId="77777777" w:rsidTr="00215FBA">
        <w:trPr>
          <w:trHeight w:val="340"/>
        </w:trPr>
        <w:tc>
          <w:tcPr>
            <w:tcW w:w="9158" w:type="dxa"/>
            <w:shd w:val="clear" w:color="auto" w:fill="F2F2F2" w:themeFill="background1" w:themeFillShade="F2"/>
            <w:vAlign w:val="center"/>
          </w:tcPr>
          <w:p w14:paraId="0586AA52" w14:textId="21C95E1E" w:rsidR="00D24A06" w:rsidRPr="00D24A06" w:rsidRDefault="00D24A06" w:rsidP="00D24A06">
            <w:pPr>
              <w:rPr>
                <w:rFonts w:ascii="Arial" w:hAnsi="Arial" w:cs="Arial"/>
                <w:b/>
                <w:iCs/>
                <w:sz w:val="20"/>
                <w:szCs w:val="20"/>
              </w:rPr>
            </w:pPr>
            <w:bookmarkStart w:id="0" w:name="_Hlk54785454"/>
            <w:r w:rsidRPr="00977A20">
              <w:rPr>
                <w:rFonts w:ascii="Arial" w:hAnsi="Arial" w:cs="Arial"/>
                <w:b/>
                <w:iCs/>
                <w:sz w:val="20"/>
                <w:szCs w:val="20"/>
              </w:rPr>
              <w:t>Is the offence one that requires the applicant to show cause?</w:t>
            </w:r>
          </w:p>
        </w:tc>
      </w:tr>
      <w:bookmarkEnd w:id="0"/>
    </w:tbl>
    <w:p w14:paraId="08F33A6C" w14:textId="77777777" w:rsidR="004C1E79" w:rsidRPr="00977A20" w:rsidRDefault="004C1E79" w:rsidP="00B92A4B">
      <w:pPr>
        <w:rPr>
          <w:rFonts w:ascii="Arial" w:hAnsi="Arial" w:cs="Arial"/>
          <w:b/>
          <w:iCs/>
          <w:sz w:val="20"/>
          <w:szCs w:val="20"/>
          <w:u w:val="single"/>
        </w:rPr>
      </w:pPr>
    </w:p>
    <w:p w14:paraId="76150065" w14:textId="7422B6DA" w:rsidR="004C1E79" w:rsidRPr="00977A20" w:rsidRDefault="00827CE2" w:rsidP="00B92A4B">
      <w:pPr>
        <w:spacing w:line="360" w:lineRule="auto"/>
        <w:ind w:left="284" w:hanging="142"/>
        <w:rPr>
          <w:rFonts w:ascii="Arial" w:hAnsi="Arial" w:cs="Arial"/>
          <w:sz w:val="20"/>
          <w:szCs w:val="20"/>
        </w:rPr>
      </w:pPr>
      <w:sdt>
        <w:sdtPr>
          <w:rPr>
            <w:rFonts w:ascii="Arial" w:hAnsi="Arial" w:cs="Arial"/>
            <w:sz w:val="20"/>
            <w:szCs w:val="20"/>
          </w:rPr>
          <w:id w:val="636150233"/>
          <w14:checkbox>
            <w14:checked w14:val="0"/>
            <w14:checkedState w14:val="2612" w14:font="MS Gothic"/>
            <w14:uncheckedState w14:val="2610" w14:font="MS Gothic"/>
          </w14:checkbox>
        </w:sdtPr>
        <w:sdtEndPr/>
        <w:sdtContent>
          <w:r w:rsidR="0059157A">
            <w:rPr>
              <w:rFonts w:ascii="MS Gothic" w:eastAsia="MS Gothic" w:hAnsi="MS Gothic" w:cs="Arial" w:hint="eastAsia"/>
              <w:sz w:val="20"/>
              <w:szCs w:val="20"/>
            </w:rPr>
            <w:t>☐</w:t>
          </w:r>
        </w:sdtContent>
      </w:sdt>
      <w:r w:rsidR="0059157A">
        <w:rPr>
          <w:rFonts w:ascii="Arial" w:hAnsi="Arial" w:cs="Arial"/>
          <w:sz w:val="20"/>
          <w:szCs w:val="20"/>
        </w:rPr>
        <w:tab/>
      </w:r>
      <w:r w:rsidR="0059157A" w:rsidRPr="00977A20">
        <w:rPr>
          <w:rFonts w:ascii="Arial" w:hAnsi="Arial" w:cs="Arial"/>
          <w:sz w:val="20"/>
          <w:szCs w:val="20"/>
        </w:rPr>
        <w:t>Yes – why?</w:t>
      </w:r>
    </w:p>
    <w:p w14:paraId="1EBD279E" w14:textId="3531C85F" w:rsidR="004C1E79" w:rsidRDefault="00827CE2" w:rsidP="00B92A4B">
      <w:pPr>
        <w:ind w:left="284" w:hanging="142"/>
        <w:rPr>
          <w:rFonts w:ascii="Arial" w:hAnsi="Arial" w:cs="Arial"/>
          <w:sz w:val="20"/>
          <w:szCs w:val="20"/>
        </w:rPr>
      </w:pPr>
      <w:sdt>
        <w:sdtPr>
          <w:rPr>
            <w:rFonts w:ascii="Segoe UI Symbol" w:hAnsi="Segoe UI Symbol" w:cs="Segoe UI Symbol"/>
            <w:sz w:val="20"/>
            <w:szCs w:val="20"/>
          </w:rPr>
          <w:id w:val="-1691294087"/>
          <w14:checkbox>
            <w14:checked w14:val="0"/>
            <w14:checkedState w14:val="2612" w14:font="MS Gothic"/>
            <w14:uncheckedState w14:val="2610" w14:font="MS Gothic"/>
          </w14:checkbox>
        </w:sdtPr>
        <w:sdtEndPr/>
        <w:sdtContent>
          <w:r w:rsidR="0059157A">
            <w:rPr>
              <w:rFonts w:ascii="MS Gothic" w:eastAsia="MS Gothic" w:hAnsi="MS Gothic" w:cs="Segoe UI Symbol" w:hint="eastAsia"/>
              <w:sz w:val="20"/>
              <w:szCs w:val="20"/>
            </w:rPr>
            <w:t>☐</w:t>
          </w:r>
        </w:sdtContent>
      </w:sdt>
      <w:r w:rsidR="0059157A">
        <w:rPr>
          <w:rFonts w:ascii="Segoe UI Symbol" w:hAnsi="Segoe UI Symbol" w:cs="Segoe UI Symbol"/>
          <w:sz w:val="20"/>
          <w:szCs w:val="20"/>
        </w:rPr>
        <w:tab/>
      </w:r>
      <w:r w:rsidR="0059157A" w:rsidRPr="00977A20">
        <w:rPr>
          <w:rFonts w:ascii="Arial" w:hAnsi="Arial" w:cs="Arial"/>
          <w:sz w:val="20"/>
          <w:szCs w:val="20"/>
        </w:rPr>
        <w:t>No (or were they a child at the time of the offence?) then skip to unacceptable risk test</w:t>
      </w:r>
      <w:r w:rsidR="004C1E79" w:rsidRPr="00977A20">
        <w:rPr>
          <w:rFonts w:ascii="Arial" w:hAnsi="Arial" w:cs="Arial"/>
          <w:sz w:val="20"/>
          <w:szCs w:val="20"/>
        </w:rPr>
        <w:t>.</w:t>
      </w:r>
    </w:p>
    <w:p w14:paraId="59A594DD" w14:textId="53BCAABA" w:rsidR="004C1E79" w:rsidRDefault="004C1E79" w:rsidP="00B92A4B">
      <w:pPr>
        <w:rPr>
          <w:rFonts w:ascii="Arial" w:hAnsi="Arial" w:cs="Arial"/>
          <w:b/>
          <w: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D24A06" w14:paraId="6AB28E7B" w14:textId="77777777" w:rsidTr="00215FBA">
        <w:trPr>
          <w:trHeight w:val="340"/>
        </w:trPr>
        <w:tc>
          <w:tcPr>
            <w:tcW w:w="9158" w:type="dxa"/>
            <w:shd w:val="clear" w:color="auto" w:fill="F2F2F2" w:themeFill="background1" w:themeFillShade="F2"/>
            <w:vAlign w:val="center"/>
          </w:tcPr>
          <w:p w14:paraId="5DB7AE9C" w14:textId="5AC61744" w:rsidR="00D24A06" w:rsidRPr="00D24A06" w:rsidRDefault="00D24A06" w:rsidP="00D24A06">
            <w:pPr>
              <w:rPr>
                <w:rFonts w:ascii="Arial" w:hAnsi="Arial" w:cs="Arial"/>
                <w:b/>
                <w:iCs/>
                <w:sz w:val="20"/>
                <w:szCs w:val="20"/>
              </w:rPr>
            </w:pPr>
            <w:r w:rsidRPr="00977A20">
              <w:rPr>
                <w:rFonts w:ascii="Arial" w:hAnsi="Arial" w:cs="Arial"/>
                <w:b/>
                <w:iCs/>
                <w:sz w:val="20"/>
                <w:szCs w:val="20"/>
              </w:rPr>
              <w:t xml:space="preserve">Key </w:t>
            </w:r>
            <w:r>
              <w:rPr>
                <w:rFonts w:ascii="Arial" w:hAnsi="Arial" w:cs="Arial"/>
                <w:b/>
                <w:iCs/>
                <w:sz w:val="20"/>
                <w:szCs w:val="20"/>
              </w:rPr>
              <w:t>authorities on show cause</w:t>
            </w:r>
            <w:r w:rsidRPr="00977A20">
              <w:rPr>
                <w:rFonts w:ascii="Arial" w:hAnsi="Arial" w:cs="Arial"/>
                <w:b/>
                <w:iCs/>
                <w:sz w:val="20"/>
                <w:szCs w:val="20"/>
              </w:rPr>
              <w:t xml:space="preserve"> </w:t>
            </w:r>
          </w:p>
        </w:tc>
      </w:tr>
    </w:tbl>
    <w:p w14:paraId="07EE7FD5" w14:textId="77777777" w:rsidR="00D24A06" w:rsidRPr="00977A20" w:rsidRDefault="00D24A06" w:rsidP="00B92A4B">
      <w:pPr>
        <w:rPr>
          <w:rFonts w:ascii="Arial" w:hAnsi="Arial" w:cs="Arial"/>
          <w:b/>
          <w:i/>
          <w:sz w:val="20"/>
          <w:szCs w:val="20"/>
        </w:rPr>
      </w:pPr>
    </w:p>
    <w:p w14:paraId="612DCD81" w14:textId="77777777" w:rsidR="00A038E4" w:rsidRDefault="004C1E79" w:rsidP="00B92A4B">
      <w:pPr>
        <w:rPr>
          <w:rStyle w:val="Strong"/>
          <w:rFonts w:ascii="Arial" w:hAnsi="Arial" w:cs="Arial"/>
          <w:sz w:val="20"/>
          <w:szCs w:val="20"/>
        </w:rPr>
      </w:pPr>
      <w:proofErr w:type="spellStart"/>
      <w:r w:rsidRPr="00977A20">
        <w:rPr>
          <w:rStyle w:val="Strong"/>
          <w:rFonts w:ascii="Arial" w:hAnsi="Arial" w:cs="Arial"/>
          <w:sz w:val="20"/>
          <w:szCs w:val="20"/>
        </w:rPr>
        <w:t>Moukhallaletti</w:t>
      </w:r>
      <w:proofErr w:type="spellEnd"/>
      <w:r w:rsidRPr="00977A20">
        <w:rPr>
          <w:rStyle w:val="Strong"/>
          <w:rFonts w:ascii="Arial" w:hAnsi="Arial" w:cs="Arial"/>
          <w:sz w:val="20"/>
          <w:szCs w:val="20"/>
        </w:rPr>
        <w:t xml:space="preserve"> v Director of Public Prosecutions (NSW) [2016] NSWCCA 314 </w:t>
      </w:r>
    </w:p>
    <w:p w14:paraId="41158F4F" w14:textId="3296E076" w:rsidR="004C1E79" w:rsidRPr="00977A20" w:rsidRDefault="004C1E79" w:rsidP="00B92A4B">
      <w:pPr>
        <w:rPr>
          <w:rFonts w:ascii="Arial" w:hAnsi="Arial" w:cs="Arial"/>
          <w:sz w:val="20"/>
          <w:szCs w:val="20"/>
          <w:lang w:val="en-AU"/>
        </w:rPr>
      </w:pPr>
      <w:r w:rsidRPr="00977A20">
        <w:rPr>
          <w:rStyle w:val="Strong"/>
          <w:rFonts w:ascii="Arial" w:hAnsi="Arial" w:cs="Arial"/>
          <w:sz w:val="20"/>
          <w:szCs w:val="20"/>
        </w:rPr>
        <w:t xml:space="preserve">(Button J, Gleeson JA and Rothman J) at 50 </w:t>
      </w:r>
    </w:p>
    <w:p w14:paraId="732794D9" w14:textId="77777777" w:rsidR="004C1E79" w:rsidRPr="00977A20" w:rsidRDefault="004C1E79" w:rsidP="00B92A4B">
      <w:pPr>
        <w:rPr>
          <w:rFonts w:ascii="Arial" w:hAnsi="Arial" w:cs="Arial"/>
          <w:sz w:val="20"/>
          <w:szCs w:val="20"/>
          <w:lang w:val="en-AU"/>
        </w:rPr>
      </w:pPr>
    </w:p>
    <w:p w14:paraId="50865027" w14:textId="77777777" w:rsidR="004C1E79" w:rsidRPr="00977A20" w:rsidRDefault="004C1E79" w:rsidP="00B92A4B">
      <w:pPr>
        <w:rPr>
          <w:rFonts w:ascii="Arial" w:hAnsi="Arial" w:cs="Arial"/>
          <w:sz w:val="20"/>
          <w:szCs w:val="20"/>
          <w:lang w:val="en-AU"/>
        </w:rPr>
      </w:pPr>
    </w:p>
    <w:p w14:paraId="4BBDC3CE" w14:textId="77777777" w:rsidR="004C1E79" w:rsidRDefault="004C1E79" w:rsidP="00B92A4B">
      <w:pPr>
        <w:pStyle w:val="ListParagraph"/>
        <w:numPr>
          <w:ilvl w:val="0"/>
          <w:numId w:val="1"/>
        </w:numPr>
        <w:rPr>
          <w:rFonts w:ascii="Arial" w:hAnsi="Arial" w:cs="Arial"/>
          <w:i/>
          <w:iCs/>
          <w:sz w:val="20"/>
          <w:szCs w:val="20"/>
        </w:rPr>
      </w:pPr>
      <w:proofErr w:type="gramStart"/>
      <w:r w:rsidRPr="00977A20">
        <w:rPr>
          <w:rFonts w:ascii="Arial" w:hAnsi="Arial" w:cs="Arial"/>
          <w:i/>
          <w:iCs/>
          <w:sz w:val="20"/>
          <w:szCs w:val="20"/>
        </w:rPr>
        <w:t>Firstly</w:t>
      </w:r>
      <w:proofErr w:type="gramEnd"/>
      <w:r w:rsidRPr="00977A20">
        <w:rPr>
          <w:rFonts w:ascii="Arial" w:hAnsi="Arial" w:cs="Arial"/>
          <w:i/>
          <w:iCs/>
          <w:sz w:val="20"/>
          <w:szCs w:val="20"/>
        </w:rPr>
        <w:t xml:space="preserve"> the question is separate from the question of whether there would be unacceptable risks of certain things occurring if the applicant were granted bail: see Director of Public Prosecutions (NSW) v </w:t>
      </w:r>
      <w:proofErr w:type="spellStart"/>
      <w:r w:rsidRPr="00977A20">
        <w:rPr>
          <w:rFonts w:ascii="Arial" w:hAnsi="Arial" w:cs="Arial"/>
          <w:i/>
          <w:iCs/>
          <w:sz w:val="20"/>
          <w:szCs w:val="20"/>
        </w:rPr>
        <w:t>Tikomaimaleya</w:t>
      </w:r>
      <w:proofErr w:type="spellEnd"/>
      <w:r w:rsidRPr="00977A20">
        <w:rPr>
          <w:rFonts w:ascii="Arial" w:hAnsi="Arial" w:cs="Arial"/>
          <w:i/>
          <w:iCs/>
          <w:sz w:val="20"/>
          <w:szCs w:val="20"/>
        </w:rPr>
        <w:t xml:space="preserve"> [2015] NSWCA 83 at [25].</w:t>
      </w:r>
    </w:p>
    <w:p w14:paraId="4A0D954B" w14:textId="77777777" w:rsidR="004C1E79" w:rsidRPr="00977A20" w:rsidRDefault="004C1E79" w:rsidP="00B92A4B">
      <w:pPr>
        <w:pStyle w:val="ListParagraph"/>
        <w:rPr>
          <w:rFonts w:ascii="Arial" w:hAnsi="Arial" w:cs="Arial"/>
          <w:i/>
          <w:iCs/>
          <w:sz w:val="20"/>
          <w:szCs w:val="20"/>
        </w:rPr>
      </w:pPr>
    </w:p>
    <w:p w14:paraId="062547D3" w14:textId="77777777" w:rsidR="004C1E79" w:rsidRDefault="004C1E79" w:rsidP="00B92A4B">
      <w:pPr>
        <w:pStyle w:val="ListParagraph"/>
        <w:numPr>
          <w:ilvl w:val="0"/>
          <w:numId w:val="1"/>
        </w:numPr>
        <w:rPr>
          <w:rFonts w:ascii="Arial" w:hAnsi="Arial" w:cs="Arial"/>
          <w:i/>
          <w:iCs/>
          <w:sz w:val="20"/>
          <w:szCs w:val="20"/>
        </w:rPr>
      </w:pPr>
      <w:r w:rsidRPr="00977A20">
        <w:rPr>
          <w:rFonts w:ascii="Arial" w:hAnsi="Arial" w:cs="Arial"/>
          <w:i/>
          <w:iCs/>
          <w:sz w:val="20"/>
          <w:szCs w:val="20"/>
        </w:rPr>
        <w:t>Secondly, as was remarked upon in that judgment of this Court, Parliament has not enumerated the facts that may show cause, in contrast to the enumeration by Parliament of the factors relevant to the assessment of unacceptable risks: see ss 16A and 18 of the Bail Act.</w:t>
      </w:r>
    </w:p>
    <w:p w14:paraId="5F411A81" w14:textId="77777777" w:rsidR="004C1E79" w:rsidRPr="00977A20" w:rsidRDefault="004C1E79" w:rsidP="00B92A4B">
      <w:pPr>
        <w:rPr>
          <w:rFonts w:ascii="Arial" w:hAnsi="Arial" w:cs="Arial"/>
          <w:i/>
          <w:iCs/>
          <w:sz w:val="20"/>
          <w:szCs w:val="20"/>
        </w:rPr>
      </w:pPr>
    </w:p>
    <w:p w14:paraId="5FA2B12F" w14:textId="77777777" w:rsidR="004C1E79" w:rsidRDefault="004C1E79" w:rsidP="00B92A4B">
      <w:pPr>
        <w:pStyle w:val="ListParagraph"/>
        <w:numPr>
          <w:ilvl w:val="0"/>
          <w:numId w:val="1"/>
        </w:numPr>
        <w:rPr>
          <w:rFonts w:ascii="Arial" w:hAnsi="Arial" w:cs="Arial"/>
          <w:i/>
          <w:iCs/>
          <w:sz w:val="20"/>
          <w:szCs w:val="20"/>
        </w:rPr>
      </w:pPr>
      <w:r w:rsidRPr="00977A20">
        <w:rPr>
          <w:rFonts w:ascii="Arial" w:hAnsi="Arial" w:cs="Arial"/>
          <w:i/>
          <w:iCs/>
          <w:sz w:val="20"/>
          <w:szCs w:val="20"/>
        </w:rPr>
        <w:t xml:space="preserve">Thirdly, there will nevertheless often be a substantial overlap between the factors that may go to whether cause has been shown and the factors that inform whether an unacceptable risk exists: see Director of Public Prosecutions (NSW) v </w:t>
      </w:r>
      <w:proofErr w:type="spellStart"/>
      <w:r w:rsidRPr="00977A20">
        <w:rPr>
          <w:rFonts w:ascii="Arial" w:hAnsi="Arial" w:cs="Arial"/>
          <w:i/>
          <w:iCs/>
          <w:sz w:val="20"/>
          <w:szCs w:val="20"/>
        </w:rPr>
        <w:t>Tikomaimaleya</w:t>
      </w:r>
      <w:proofErr w:type="spellEnd"/>
      <w:r w:rsidRPr="00977A20">
        <w:rPr>
          <w:rFonts w:ascii="Arial" w:hAnsi="Arial" w:cs="Arial"/>
          <w:i/>
          <w:iCs/>
          <w:sz w:val="20"/>
          <w:szCs w:val="20"/>
        </w:rPr>
        <w:t xml:space="preserve"> at [24], R v Marcus [2016] NSWCCA 237 at [31] and [35], and McAndrew v R [2016] NSWCCA 58 at [9].</w:t>
      </w:r>
    </w:p>
    <w:p w14:paraId="7F744E9B" w14:textId="77777777" w:rsidR="004C1E79" w:rsidRPr="00977A20" w:rsidRDefault="004C1E79" w:rsidP="00B92A4B">
      <w:pPr>
        <w:rPr>
          <w:rFonts w:ascii="Arial" w:hAnsi="Arial" w:cs="Arial"/>
          <w:i/>
          <w:iCs/>
          <w:sz w:val="20"/>
          <w:szCs w:val="20"/>
        </w:rPr>
      </w:pPr>
    </w:p>
    <w:p w14:paraId="7BD7EBCC" w14:textId="6AFF9533" w:rsidR="004C1E79" w:rsidRPr="0064404D" w:rsidRDefault="004C1E79" w:rsidP="00B92A4B">
      <w:pPr>
        <w:pStyle w:val="ListParagraph"/>
        <w:numPr>
          <w:ilvl w:val="0"/>
          <w:numId w:val="1"/>
        </w:numPr>
        <w:rPr>
          <w:rFonts w:ascii="Arial" w:hAnsi="Arial" w:cs="Arial"/>
          <w:i/>
          <w:iCs/>
          <w:sz w:val="20"/>
          <w:szCs w:val="20"/>
        </w:rPr>
      </w:pPr>
      <w:r w:rsidRPr="00977A20">
        <w:rPr>
          <w:rFonts w:ascii="Arial" w:hAnsi="Arial" w:cs="Arial"/>
          <w:i/>
          <w:iCs/>
          <w:sz w:val="20"/>
          <w:szCs w:val="20"/>
        </w:rPr>
        <w:t>Fourthly, cause may be shown by a single powerful factor, or a powerful combination of factors: see R v S [2016] NSWCCA 189 at [63].</w:t>
      </w:r>
    </w:p>
    <w:p w14:paraId="257DE2B4" w14:textId="77777777" w:rsidR="004C1E79" w:rsidRPr="00977A20" w:rsidRDefault="004C1E79" w:rsidP="00B92A4B">
      <w:pPr>
        <w:rPr>
          <w:rFonts w:ascii="Arial" w:hAnsi="Arial" w:cs="Arial"/>
          <w:i/>
          <w:iCs/>
          <w:sz w:val="20"/>
          <w:szCs w:val="20"/>
        </w:rPr>
      </w:pPr>
    </w:p>
    <w:p w14:paraId="696ED4F3" w14:textId="77777777" w:rsidR="004C1E79" w:rsidRDefault="004C1E79" w:rsidP="00B92A4B">
      <w:pPr>
        <w:pStyle w:val="ListParagraph"/>
        <w:numPr>
          <w:ilvl w:val="0"/>
          <w:numId w:val="1"/>
        </w:numPr>
        <w:rPr>
          <w:rFonts w:ascii="Arial" w:hAnsi="Arial" w:cs="Arial"/>
          <w:i/>
          <w:iCs/>
          <w:sz w:val="20"/>
          <w:szCs w:val="20"/>
        </w:rPr>
      </w:pPr>
      <w:r w:rsidRPr="00977A20">
        <w:rPr>
          <w:rFonts w:ascii="Arial" w:hAnsi="Arial" w:cs="Arial"/>
          <w:i/>
          <w:iCs/>
          <w:sz w:val="20"/>
          <w:szCs w:val="20"/>
        </w:rPr>
        <w:t xml:space="preserve">Fifthly, one should refrain from placing a gloss on the words of the Bail Act: see the judgment of Beech-Jones J (Gleeson JA and Adams J agreeing) in Director of Public Prosecutions (NSW) v </w:t>
      </w:r>
      <w:proofErr w:type="spellStart"/>
      <w:r w:rsidRPr="00977A20">
        <w:rPr>
          <w:rFonts w:ascii="Arial" w:hAnsi="Arial" w:cs="Arial"/>
          <w:i/>
          <w:iCs/>
          <w:sz w:val="20"/>
          <w:szCs w:val="20"/>
        </w:rPr>
        <w:t>Mawad</w:t>
      </w:r>
      <w:proofErr w:type="spellEnd"/>
      <w:r w:rsidRPr="00977A20">
        <w:rPr>
          <w:rFonts w:ascii="Arial" w:hAnsi="Arial" w:cs="Arial"/>
          <w:i/>
          <w:iCs/>
          <w:sz w:val="20"/>
          <w:szCs w:val="20"/>
        </w:rPr>
        <w:t xml:space="preserve"> [2015] NSWCCA 227 at [42]. </w:t>
      </w:r>
      <w:proofErr w:type="gramStart"/>
      <w:r w:rsidRPr="00977A20">
        <w:rPr>
          <w:rFonts w:ascii="Arial" w:hAnsi="Arial" w:cs="Arial"/>
          <w:i/>
          <w:iCs/>
          <w:sz w:val="20"/>
          <w:szCs w:val="20"/>
        </w:rPr>
        <w:t>In particular, it</w:t>
      </w:r>
      <w:proofErr w:type="gramEnd"/>
      <w:r w:rsidRPr="00977A20">
        <w:rPr>
          <w:rFonts w:ascii="Arial" w:hAnsi="Arial" w:cs="Arial"/>
          <w:i/>
          <w:iCs/>
          <w:sz w:val="20"/>
          <w:szCs w:val="20"/>
        </w:rPr>
        <w:t xml:space="preserve"> is not incumbent upon an applicant to show special or exceptional circumstances in order to show cause; Parliament has reserved that different requirement to different circumstances: see s 22 of the Bail Act.</w:t>
      </w:r>
    </w:p>
    <w:p w14:paraId="5BEC6C01" w14:textId="77777777" w:rsidR="004C1E79" w:rsidRPr="00977A20" w:rsidRDefault="004C1E79" w:rsidP="00B92A4B">
      <w:pPr>
        <w:rPr>
          <w:rFonts w:ascii="Arial" w:hAnsi="Arial" w:cs="Arial"/>
          <w:i/>
          <w:iCs/>
          <w:sz w:val="20"/>
          <w:szCs w:val="20"/>
        </w:rPr>
      </w:pPr>
    </w:p>
    <w:p w14:paraId="17F85AA0" w14:textId="1234F3D6" w:rsidR="004C1E79" w:rsidRDefault="004C1E79" w:rsidP="00B92A4B">
      <w:pPr>
        <w:pStyle w:val="ListParagraph"/>
        <w:numPr>
          <w:ilvl w:val="0"/>
          <w:numId w:val="1"/>
        </w:numPr>
        <w:rPr>
          <w:rFonts w:ascii="Arial" w:hAnsi="Arial" w:cs="Arial"/>
          <w:i/>
          <w:iCs/>
          <w:sz w:val="20"/>
          <w:szCs w:val="20"/>
        </w:rPr>
      </w:pPr>
      <w:r w:rsidRPr="00977A20">
        <w:rPr>
          <w:rFonts w:ascii="Arial" w:hAnsi="Arial" w:cs="Arial"/>
          <w:i/>
          <w:iCs/>
          <w:sz w:val="20"/>
          <w:szCs w:val="20"/>
        </w:rPr>
        <w:t xml:space="preserve">Sixthly, one can find countless examples whereby a single judge of the Supreme Court has found that an applicant has shown </w:t>
      </w:r>
      <w:proofErr w:type="gramStart"/>
      <w:r w:rsidRPr="00977A20">
        <w:rPr>
          <w:rFonts w:ascii="Arial" w:hAnsi="Arial" w:cs="Arial"/>
          <w:i/>
          <w:iCs/>
          <w:sz w:val="20"/>
          <w:szCs w:val="20"/>
        </w:rPr>
        <w:t>cause, or</w:t>
      </w:r>
      <w:proofErr w:type="gramEnd"/>
      <w:r w:rsidRPr="00977A20">
        <w:rPr>
          <w:rFonts w:ascii="Arial" w:hAnsi="Arial" w:cs="Arial"/>
          <w:i/>
          <w:iCs/>
          <w:sz w:val="20"/>
          <w:szCs w:val="20"/>
        </w:rPr>
        <w:t xml:space="preserve"> failed to do so. However, as RA Hulme J (Hoeben CJ at CL and Wilson J agreeing) explained recently in Director of Public Prosecutions (NSW) v </w:t>
      </w:r>
      <w:proofErr w:type="spellStart"/>
      <w:r w:rsidRPr="00977A20">
        <w:rPr>
          <w:rFonts w:ascii="Arial" w:hAnsi="Arial" w:cs="Arial"/>
          <w:i/>
          <w:iCs/>
          <w:sz w:val="20"/>
          <w:szCs w:val="20"/>
        </w:rPr>
        <w:t>Zaiter</w:t>
      </w:r>
      <w:proofErr w:type="spellEnd"/>
      <w:r w:rsidRPr="00977A20">
        <w:rPr>
          <w:rFonts w:ascii="Arial" w:hAnsi="Arial" w:cs="Arial"/>
          <w:i/>
          <w:iCs/>
          <w:sz w:val="20"/>
          <w:szCs w:val="20"/>
        </w:rPr>
        <w:t xml:space="preserve"> [2016] NSWCCA 247 at [30] to [33], unless they contain a discussion of legal principles, those decisions have little or no precedential value. That is because many bail decisions are evaluative judgments about the interplay of a multitude of factors, not determinations of legal questions.</w:t>
      </w:r>
    </w:p>
    <w:p w14:paraId="147B26E5" w14:textId="77777777" w:rsidR="0064404D" w:rsidRPr="0064404D" w:rsidRDefault="0064404D" w:rsidP="00B92A4B">
      <w:pPr>
        <w:rPr>
          <w:rFonts w:ascii="Arial" w:hAnsi="Arial" w:cs="Arial"/>
          <w:i/>
          <w:iCs/>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D24A06" w14:paraId="1D6C8232" w14:textId="77777777" w:rsidTr="00215FBA">
        <w:trPr>
          <w:trHeight w:val="340"/>
        </w:trPr>
        <w:tc>
          <w:tcPr>
            <w:tcW w:w="9158" w:type="dxa"/>
            <w:shd w:val="clear" w:color="auto" w:fill="F2F2F2" w:themeFill="background1" w:themeFillShade="F2"/>
            <w:vAlign w:val="center"/>
          </w:tcPr>
          <w:p w14:paraId="3C72DBF1" w14:textId="6E047032" w:rsidR="00D24A06" w:rsidRPr="00D24A06" w:rsidRDefault="00D24A06" w:rsidP="00D24A06">
            <w:pPr>
              <w:pStyle w:val="Default"/>
              <w:shd w:val="clear" w:color="auto" w:fill="F2F2F2" w:themeFill="background1" w:themeFillShade="F2"/>
              <w:spacing w:after="51"/>
              <w:rPr>
                <w:rFonts w:ascii="Arial" w:hAnsi="Arial" w:cs="Arial"/>
                <w:color w:val="auto"/>
                <w:sz w:val="20"/>
                <w:szCs w:val="20"/>
              </w:rPr>
            </w:pPr>
            <w:r w:rsidRPr="00977A20">
              <w:rPr>
                <w:rFonts w:ascii="Arial" w:hAnsi="Arial" w:cs="Arial"/>
                <w:b/>
                <w:bCs/>
                <w:color w:val="auto"/>
                <w:sz w:val="20"/>
                <w:szCs w:val="20"/>
              </w:rPr>
              <w:t>Examples of cases where cause has been found to be shown</w:t>
            </w:r>
            <w:r w:rsidRPr="00977A20">
              <w:rPr>
                <w:rFonts w:ascii="Arial" w:hAnsi="Arial" w:cs="Arial"/>
                <w:color w:val="auto"/>
                <w:sz w:val="20"/>
                <w:szCs w:val="20"/>
              </w:rPr>
              <w:t xml:space="preserve"> </w:t>
            </w:r>
          </w:p>
        </w:tc>
      </w:tr>
    </w:tbl>
    <w:p w14:paraId="06F23AF1" w14:textId="77777777" w:rsidR="004C1E79" w:rsidRPr="00977A20" w:rsidRDefault="004C1E79" w:rsidP="00B92A4B">
      <w:pPr>
        <w:pStyle w:val="Default"/>
        <w:spacing w:after="51"/>
        <w:rPr>
          <w:rFonts w:ascii="Arial" w:hAnsi="Arial" w:cs="Arial"/>
          <w:color w:val="auto"/>
          <w:sz w:val="20"/>
          <w:szCs w:val="20"/>
          <w:u w:val="single"/>
        </w:rPr>
      </w:pPr>
    </w:p>
    <w:p w14:paraId="190DE0FE" w14:textId="77777777" w:rsidR="0059157A" w:rsidRDefault="004C1E79" w:rsidP="00B92A4B">
      <w:pPr>
        <w:pStyle w:val="Default"/>
        <w:spacing w:after="51"/>
        <w:rPr>
          <w:rFonts w:ascii="Arial" w:hAnsi="Arial" w:cs="Arial"/>
          <w:color w:val="auto"/>
          <w:sz w:val="20"/>
          <w:szCs w:val="20"/>
        </w:rPr>
      </w:pPr>
      <w:r w:rsidRPr="00977A20">
        <w:rPr>
          <w:rFonts w:ascii="Arial" w:hAnsi="Arial" w:cs="Arial"/>
          <w:color w:val="auto"/>
          <w:sz w:val="20"/>
          <w:szCs w:val="20"/>
        </w:rPr>
        <w:t>(</w:t>
      </w:r>
      <w:r>
        <w:rPr>
          <w:rFonts w:ascii="Arial" w:hAnsi="Arial" w:cs="Arial"/>
          <w:color w:val="auto"/>
          <w:sz w:val="20"/>
          <w:szCs w:val="20"/>
        </w:rPr>
        <w:t>beware</w:t>
      </w:r>
      <w:r w:rsidRPr="00977A20">
        <w:rPr>
          <w:rFonts w:ascii="Arial" w:hAnsi="Arial" w:cs="Arial"/>
          <w:color w:val="auto"/>
          <w:sz w:val="20"/>
          <w:szCs w:val="20"/>
        </w:rPr>
        <w:t xml:space="preserve"> any authority below is in most instances persuasive only </w:t>
      </w:r>
      <w:r>
        <w:rPr>
          <w:rFonts w:ascii="Arial" w:hAnsi="Arial" w:cs="Arial"/>
          <w:color w:val="auto"/>
          <w:sz w:val="20"/>
          <w:szCs w:val="20"/>
        </w:rPr>
        <w:t xml:space="preserve">– </w:t>
      </w:r>
      <w:r w:rsidRPr="00977A20">
        <w:rPr>
          <w:rFonts w:ascii="Arial" w:hAnsi="Arial" w:cs="Arial"/>
          <w:color w:val="auto"/>
          <w:sz w:val="20"/>
          <w:szCs w:val="20"/>
        </w:rPr>
        <w:t xml:space="preserve">see </w:t>
      </w:r>
      <w:proofErr w:type="spellStart"/>
      <w:r w:rsidRPr="00977A20">
        <w:rPr>
          <w:rFonts w:ascii="Arial" w:hAnsi="Arial" w:cs="Arial"/>
          <w:i/>
          <w:iCs/>
          <w:color w:val="auto"/>
          <w:sz w:val="20"/>
          <w:szCs w:val="20"/>
        </w:rPr>
        <w:t>Moukhalletti</w:t>
      </w:r>
      <w:proofErr w:type="spellEnd"/>
      <w:r w:rsidRPr="00977A20">
        <w:rPr>
          <w:rFonts w:ascii="Arial" w:hAnsi="Arial" w:cs="Arial"/>
          <w:i/>
          <w:iCs/>
          <w:color w:val="auto"/>
          <w:sz w:val="20"/>
          <w:szCs w:val="20"/>
        </w:rPr>
        <w:t xml:space="preserve"> </w:t>
      </w:r>
      <w:r w:rsidRPr="00977A20">
        <w:rPr>
          <w:rFonts w:ascii="Arial" w:hAnsi="Arial" w:cs="Arial"/>
          <w:color w:val="auto"/>
          <w:sz w:val="20"/>
          <w:szCs w:val="20"/>
        </w:rPr>
        <w:t>at 55 and show cause is by no means limited to the below circumstances):</w:t>
      </w:r>
    </w:p>
    <w:p w14:paraId="0FC8AED0" w14:textId="77777777" w:rsidR="0059157A" w:rsidRDefault="0059157A" w:rsidP="00B92A4B">
      <w:pPr>
        <w:pStyle w:val="Default"/>
        <w:spacing w:after="51"/>
        <w:rPr>
          <w:rFonts w:ascii="Arial" w:hAnsi="Arial" w:cs="Arial"/>
          <w:color w:val="auto"/>
          <w:sz w:val="20"/>
          <w:szCs w:val="20"/>
        </w:rPr>
      </w:pPr>
    </w:p>
    <w:p w14:paraId="1DE7E809" w14:textId="2A994589" w:rsidR="004C1E79" w:rsidRDefault="00827CE2" w:rsidP="00B92A4B">
      <w:pPr>
        <w:pStyle w:val="Default"/>
        <w:spacing w:after="51"/>
        <w:ind w:firstLine="142"/>
        <w:rPr>
          <w:rFonts w:ascii="Arial" w:hAnsi="Arial" w:cs="Arial"/>
          <w:color w:val="auto"/>
          <w:sz w:val="20"/>
          <w:szCs w:val="20"/>
        </w:rPr>
      </w:pPr>
      <w:sdt>
        <w:sdtPr>
          <w:rPr>
            <w:rFonts w:ascii="Arial" w:hAnsi="Arial" w:cs="Arial"/>
            <w:color w:val="auto"/>
            <w:sz w:val="20"/>
            <w:szCs w:val="20"/>
          </w:rPr>
          <w:id w:val="-542444709"/>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59157A" w:rsidRPr="00977A20">
        <w:rPr>
          <w:rFonts w:ascii="Arial" w:hAnsi="Arial" w:cs="Arial"/>
          <w:color w:val="auto"/>
          <w:sz w:val="20"/>
          <w:szCs w:val="20"/>
        </w:rPr>
        <w:t xml:space="preserve">Where sentence unlikely to attract a custodial penalty R v Grooms [2019] NSWSC 359 </w:t>
      </w:r>
      <w:r w:rsidR="004C1E79" w:rsidRPr="00977A20">
        <w:rPr>
          <w:rFonts w:ascii="Arial" w:hAnsi="Arial" w:cs="Arial"/>
          <w:color w:val="auto"/>
          <w:sz w:val="20"/>
          <w:szCs w:val="20"/>
        </w:rPr>
        <w:t xml:space="preserve"> </w:t>
      </w:r>
    </w:p>
    <w:p w14:paraId="3C9CB275" w14:textId="77777777" w:rsidR="005379F2" w:rsidRPr="00977A20" w:rsidRDefault="005379F2" w:rsidP="00B92A4B">
      <w:pPr>
        <w:pStyle w:val="Default"/>
        <w:spacing w:after="51"/>
        <w:rPr>
          <w:rFonts w:ascii="Arial" w:hAnsi="Arial" w:cs="Arial"/>
          <w:color w:val="auto"/>
          <w:sz w:val="20"/>
          <w:szCs w:val="20"/>
        </w:rPr>
      </w:pPr>
    </w:p>
    <w:p w14:paraId="64BD6873" w14:textId="1A6ACF81"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1137458939"/>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Time spent in custody pending trial may be a relevant factor in considering whether an applicant has shown cause why his or her detention is not justified: R v BNS [2016] NSWSC 350 per </w:t>
      </w:r>
      <w:proofErr w:type="spellStart"/>
      <w:r w:rsidR="004C1E79" w:rsidRPr="00977A20">
        <w:rPr>
          <w:rFonts w:ascii="Arial" w:hAnsi="Arial" w:cs="Arial"/>
          <w:color w:val="auto"/>
          <w:sz w:val="20"/>
          <w:szCs w:val="20"/>
        </w:rPr>
        <w:t>Garling</w:t>
      </w:r>
      <w:proofErr w:type="spellEnd"/>
      <w:r w:rsidR="004C1E79" w:rsidRPr="00977A20">
        <w:rPr>
          <w:rFonts w:ascii="Arial" w:hAnsi="Arial" w:cs="Arial"/>
          <w:color w:val="auto"/>
          <w:sz w:val="20"/>
          <w:szCs w:val="20"/>
        </w:rPr>
        <w:t xml:space="preserve"> J at [62]; A1 v R, A2 v R [2016] NSWSC 1288 per </w:t>
      </w:r>
      <w:proofErr w:type="spellStart"/>
      <w:r w:rsidR="004C1E79" w:rsidRPr="00977A20">
        <w:rPr>
          <w:rFonts w:ascii="Arial" w:hAnsi="Arial" w:cs="Arial"/>
          <w:color w:val="auto"/>
          <w:sz w:val="20"/>
          <w:szCs w:val="20"/>
        </w:rPr>
        <w:t>Garling</w:t>
      </w:r>
      <w:proofErr w:type="spellEnd"/>
      <w:r w:rsidR="004C1E79" w:rsidRPr="00977A20">
        <w:rPr>
          <w:rFonts w:ascii="Arial" w:hAnsi="Arial" w:cs="Arial"/>
          <w:color w:val="auto"/>
          <w:sz w:val="20"/>
          <w:szCs w:val="20"/>
        </w:rPr>
        <w:t xml:space="preserve"> J at [102]. Significant delay is relevant to show cause R v </w:t>
      </w:r>
      <w:proofErr w:type="spellStart"/>
      <w:r w:rsidR="004C1E79" w:rsidRPr="00977A20">
        <w:rPr>
          <w:rFonts w:ascii="Arial" w:hAnsi="Arial" w:cs="Arial"/>
          <w:color w:val="auto"/>
          <w:sz w:val="20"/>
          <w:szCs w:val="20"/>
        </w:rPr>
        <w:t>Gountounas</w:t>
      </w:r>
      <w:proofErr w:type="spellEnd"/>
      <w:r w:rsidR="004C1E79" w:rsidRPr="00977A20">
        <w:rPr>
          <w:rFonts w:ascii="Arial" w:hAnsi="Arial" w:cs="Arial"/>
          <w:color w:val="auto"/>
          <w:sz w:val="20"/>
          <w:szCs w:val="20"/>
        </w:rPr>
        <w:t xml:space="preserve"> [2018] NSWCCA 40 Simpson JA at [1]; Fullerton J at [5] (in dissent on this point); McCallum J at [48] however other authorities </w:t>
      </w:r>
      <w:r w:rsidR="004C1E79" w:rsidRPr="00977A20">
        <w:rPr>
          <w:rFonts w:ascii="Arial" w:hAnsi="Arial" w:cs="Arial"/>
          <w:color w:val="auto"/>
          <w:sz w:val="20"/>
          <w:szCs w:val="20"/>
        </w:rPr>
        <w:lastRenderedPageBreak/>
        <w:t>suggest on its own it is not enough: Director of Public Prosecutions v Hourigan [2017] NSWCCA 170</w:t>
      </w:r>
    </w:p>
    <w:p w14:paraId="515CF30C" w14:textId="77777777" w:rsidR="004C1E79" w:rsidRPr="00977A20" w:rsidRDefault="004C1E79" w:rsidP="00B92A4B">
      <w:pPr>
        <w:pStyle w:val="Default"/>
        <w:spacing w:after="51"/>
        <w:rPr>
          <w:rFonts w:ascii="Arial" w:hAnsi="Arial" w:cs="Arial"/>
          <w:color w:val="auto"/>
          <w:sz w:val="20"/>
          <w:szCs w:val="20"/>
        </w:rPr>
      </w:pPr>
    </w:p>
    <w:p w14:paraId="75E4E315" w14:textId="43ED4D10"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1695723046"/>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Issues with prosecution case/weak prosecution case R v Davis [2018] NSWSC 1831 &amp; R v Gao [2018] NSWSC 1011, R v David Ewen [2017] NSWSC 1328</w:t>
      </w:r>
    </w:p>
    <w:p w14:paraId="68E880A8" w14:textId="77777777" w:rsidR="004C1E79" w:rsidRPr="00977A20" w:rsidRDefault="004C1E79" w:rsidP="00B92A4B">
      <w:pPr>
        <w:pStyle w:val="Default"/>
        <w:spacing w:after="51"/>
        <w:rPr>
          <w:rFonts w:ascii="Arial" w:hAnsi="Arial" w:cs="Arial"/>
          <w:color w:val="auto"/>
          <w:sz w:val="20"/>
          <w:szCs w:val="20"/>
        </w:rPr>
      </w:pPr>
    </w:p>
    <w:p w14:paraId="3A9C99C1" w14:textId="44176344"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1788339712"/>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Risk of reoffending tempered by experience in custody prior to bail </w:t>
      </w:r>
      <w:r w:rsidR="004C1E79" w:rsidRPr="00977A20">
        <w:rPr>
          <w:rFonts w:ascii="Arial" w:hAnsi="Arial" w:cs="Arial"/>
          <w:i/>
          <w:iCs/>
          <w:color w:val="auto"/>
          <w:sz w:val="20"/>
          <w:szCs w:val="20"/>
        </w:rPr>
        <w:t xml:space="preserve">(R v </w:t>
      </w:r>
      <w:proofErr w:type="spellStart"/>
      <w:r w:rsidR="004C1E79" w:rsidRPr="00977A20">
        <w:rPr>
          <w:rFonts w:ascii="Arial" w:hAnsi="Arial" w:cs="Arial"/>
          <w:i/>
          <w:iCs/>
          <w:color w:val="auto"/>
          <w:sz w:val="20"/>
          <w:szCs w:val="20"/>
        </w:rPr>
        <w:t>Kugor</w:t>
      </w:r>
      <w:proofErr w:type="spellEnd"/>
      <w:r w:rsidR="004C1E79" w:rsidRPr="00977A20">
        <w:rPr>
          <w:rFonts w:ascii="Arial" w:hAnsi="Arial" w:cs="Arial"/>
          <w:i/>
          <w:iCs/>
          <w:color w:val="auto"/>
          <w:sz w:val="20"/>
          <w:szCs w:val="20"/>
        </w:rPr>
        <w:t xml:space="preserve"> </w:t>
      </w:r>
      <w:r w:rsidR="004C1E79" w:rsidRPr="00977A20">
        <w:rPr>
          <w:rFonts w:ascii="Arial" w:hAnsi="Arial" w:cs="Arial"/>
          <w:color w:val="auto"/>
          <w:sz w:val="20"/>
          <w:szCs w:val="20"/>
        </w:rPr>
        <w:t xml:space="preserve">[2015] NSWCCA 14). </w:t>
      </w:r>
    </w:p>
    <w:p w14:paraId="24C34A18" w14:textId="77777777" w:rsidR="004C1E79" w:rsidRPr="00977A20" w:rsidRDefault="004C1E79" w:rsidP="00B92A4B">
      <w:pPr>
        <w:pStyle w:val="Default"/>
        <w:spacing w:after="51"/>
        <w:rPr>
          <w:rFonts w:ascii="Arial" w:hAnsi="Arial" w:cs="Arial"/>
          <w:color w:val="auto"/>
          <w:sz w:val="20"/>
          <w:szCs w:val="20"/>
        </w:rPr>
      </w:pPr>
    </w:p>
    <w:p w14:paraId="72FE5168" w14:textId="4E1EB919" w:rsidR="004C1E79" w:rsidRDefault="00827CE2" w:rsidP="00B92A4B">
      <w:pPr>
        <w:pStyle w:val="Default"/>
        <w:spacing w:after="51"/>
        <w:ind w:firstLine="142"/>
        <w:rPr>
          <w:rFonts w:ascii="Arial" w:hAnsi="Arial" w:cs="Arial"/>
          <w:color w:val="auto"/>
          <w:sz w:val="20"/>
          <w:szCs w:val="20"/>
        </w:rPr>
      </w:pPr>
      <w:sdt>
        <w:sdtPr>
          <w:rPr>
            <w:rFonts w:ascii="Arial" w:hAnsi="Arial" w:cs="Arial"/>
            <w:color w:val="auto"/>
            <w:sz w:val="20"/>
            <w:szCs w:val="20"/>
          </w:rPr>
          <w:id w:val="1940253839"/>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Young and first time in custody: </w:t>
      </w:r>
      <w:r w:rsidR="004C1E79" w:rsidRPr="00977A20">
        <w:rPr>
          <w:rFonts w:ascii="Arial" w:hAnsi="Arial" w:cs="Arial"/>
          <w:i/>
          <w:iCs/>
          <w:color w:val="auto"/>
          <w:sz w:val="20"/>
          <w:szCs w:val="20"/>
        </w:rPr>
        <w:t>R v Goodwin</w:t>
      </w:r>
      <w:r w:rsidR="004C1E79" w:rsidRPr="00977A20">
        <w:rPr>
          <w:rFonts w:ascii="Arial" w:hAnsi="Arial" w:cs="Arial"/>
          <w:color w:val="auto"/>
          <w:sz w:val="20"/>
          <w:szCs w:val="20"/>
        </w:rPr>
        <w:t xml:space="preserve">, NSWSC, Hall J, 11 March 2015. </w:t>
      </w:r>
    </w:p>
    <w:p w14:paraId="2186090E" w14:textId="77777777" w:rsidR="004C1E79" w:rsidRPr="00977A20" w:rsidRDefault="004C1E79" w:rsidP="00B92A4B">
      <w:pPr>
        <w:pStyle w:val="Default"/>
        <w:spacing w:after="51"/>
        <w:rPr>
          <w:rFonts w:ascii="Arial" w:hAnsi="Arial" w:cs="Arial"/>
          <w:color w:val="auto"/>
          <w:sz w:val="20"/>
          <w:szCs w:val="20"/>
        </w:rPr>
      </w:pPr>
    </w:p>
    <w:p w14:paraId="2E1624BF" w14:textId="5B9F2312"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505104605"/>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Residential rehabilitation not available in custody: </w:t>
      </w:r>
      <w:r w:rsidR="004C1E79" w:rsidRPr="00977A20">
        <w:rPr>
          <w:rFonts w:ascii="Arial" w:hAnsi="Arial" w:cs="Arial"/>
          <w:i/>
          <w:iCs/>
          <w:color w:val="auto"/>
          <w:sz w:val="20"/>
          <w:szCs w:val="20"/>
        </w:rPr>
        <w:t xml:space="preserve">Yates, </w:t>
      </w:r>
      <w:r w:rsidR="004C1E79" w:rsidRPr="00977A20">
        <w:rPr>
          <w:rFonts w:ascii="Arial" w:hAnsi="Arial" w:cs="Arial"/>
          <w:color w:val="auto"/>
          <w:sz w:val="20"/>
          <w:szCs w:val="20"/>
        </w:rPr>
        <w:t xml:space="preserve">NSWSC, McCallum J, 18 February, </w:t>
      </w:r>
      <w:r w:rsidR="004C1E79" w:rsidRPr="00977A20">
        <w:rPr>
          <w:rFonts w:ascii="Arial" w:hAnsi="Arial" w:cs="Arial"/>
          <w:i/>
          <w:iCs/>
          <w:color w:val="auto"/>
          <w:sz w:val="20"/>
          <w:szCs w:val="20"/>
        </w:rPr>
        <w:t>R v Stanley</w:t>
      </w:r>
      <w:r w:rsidR="004C1E79" w:rsidRPr="00977A20">
        <w:rPr>
          <w:rFonts w:ascii="Arial" w:hAnsi="Arial" w:cs="Arial"/>
          <w:color w:val="auto"/>
          <w:sz w:val="20"/>
          <w:szCs w:val="20"/>
        </w:rPr>
        <w:t xml:space="preserve">, SCNSW, Hall J, 11 February 2015. </w:t>
      </w:r>
    </w:p>
    <w:p w14:paraId="228C71E1" w14:textId="77777777" w:rsidR="004C1E79" w:rsidRPr="00977A20" w:rsidRDefault="004C1E79" w:rsidP="00B92A4B">
      <w:pPr>
        <w:pStyle w:val="Default"/>
        <w:spacing w:after="51"/>
        <w:rPr>
          <w:rFonts w:ascii="Arial" w:hAnsi="Arial" w:cs="Arial"/>
          <w:color w:val="auto"/>
          <w:sz w:val="20"/>
          <w:szCs w:val="20"/>
        </w:rPr>
      </w:pPr>
    </w:p>
    <w:p w14:paraId="00F98AF3" w14:textId="2FE42DF0"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1560052104"/>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4C1E79" w:rsidRPr="00977A20">
        <w:rPr>
          <w:rFonts w:ascii="Arial" w:hAnsi="Arial" w:cs="Arial"/>
          <w:color w:val="auto"/>
          <w:sz w:val="20"/>
          <w:szCs w:val="20"/>
        </w:rPr>
        <w:t xml:space="preserve"> </w:t>
      </w:r>
      <w:r w:rsidR="0059157A">
        <w:rPr>
          <w:rFonts w:ascii="Arial" w:hAnsi="Arial" w:cs="Arial"/>
          <w:color w:val="auto"/>
          <w:sz w:val="20"/>
          <w:szCs w:val="20"/>
        </w:rPr>
        <w:tab/>
      </w:r>
      <w:r w:rsidR="004C1E79" w:rsidRPr="00977A20">
        <w:rPr>
          <w:rFonts w:ascii="Arial" w:hAnsi="Arial" w:cs="Arial"/>
          <w:color w:val="auto"/>
          <w:sz w:val="20"/>
          <w:szCs w:val="20"/>
        </w:rPr>
        <w:t xml:space="preserve">Lack of appropriate medical treatment in custody: </w:t>
      </w:r>
      <w:r w:rsidR="004C1E79" w:rsidRPr="00977A20">
        <w:rPr>
          <w:rFonts w:ascii="Arial" w:hAnsi="Arial" w:cs="Arial"/>
          <w:i/>
          <w:iCs/>
          <w:color w:val="auto"/>
          <w:sz w:val="20"/>
          <w:szCs w:val="20"/>
        </w:rPr>
        <w:t xml:space="preserve">R v </w:t>
      </w:r>
      <w:proofErr w:type="spellStart"/>
      <w:r w:rsidR="004C1E79" w:rsidRPr="00977A20">
        <w:rPr>
          <w:rFonts w:ascii="Arial" w:hAnsi="Arial" w:cs="Arial"/>
          <w:i/>
          <w:iCs/>
          <w:color w:val="auto"/>
          <w:sz w:val="20"/>
          <w:szCs w:val="20"/>
        </w:rPr>
        <w:t>Najem</w:t>
      </w:r>
      <w:proofErr w:type="spellEnd"/>
      <w:r w:rsidR="004C1E79" w:rsidRPr="00977A20">
        <w:rPr>
          <w:rFonts w:ascii="Arial" w:hAnsi="Arial" w:cs="Arial"/>
          <w:color w:val="auto"/>
          <w:sz w:val="20"/>
          <w:szCs w:val="20"/>
        </w:rPr>
        <w:t xml:space="preserve">, SCNSW, Wilson J, 18 February 2015, </w:t>
      </w:r>
      <w:r w:rsidR="004C1E79" w:rsidRPr="00977A20">
        <w:rPr>
          <w:rFonts w:ascii="Arial" w:hAnsi="Arial" w:cs="Arial"/>
          <w:i/>
          <w:iCs/>
          <w:color w:val="auto"/>
          <w:sz w:val="20"/>
          <w:szCs w:val="20"/>
        </w:rPr>
        <w:t xml:space="preserve">R v </w:t>
      </w:r>
      <w:proofErr w:type="spellStart"/>
      <w:r w:rsidR="004C1E79" w:rsidRPr="00977A20">
        <w:rPr>
          <w:rFonts w:ascii="Arial" w:hAnsi="Arial" w:cs="Arial"/>
          <w:i/>
          <w:iCs/>
          <w:color w:val="auto"/>
          <w:sz w:val="20"/>
          <w:szCs w:val="20"/>
        </w:rPr>
        <w:t>Melmeth</w:t>
      </w:r>
      <w:proofErr w:type="spellEnd"/>
      <w:r w:rsidR="004C1E79" w:rsidRPr="00977A20">
        <w:rPr>
          <w:rFonts w:ascii="Arial" w:hAnsi="Arial" w:cs="Arial"/>
          <w:i/>
          <w:iCs/>
          <w:color w:val="auto"/>
          <w:sz w:val="20"/>
          <w:szCs w:val="20"/>
        </w:rPr>
        <w:t xml:space="preserve"> </w:t>
      </w:r>
      <w:r w:rsidR="004C1E79" w:rsidRPr="00977A20">
        <w:rPr>
          <w:rFonts w:ascii="Arial" w:hAnsi="Arial" w:cs="Arial"/>
          <w:color w:val="auto"/>
          <w:sz w:val="20"/>
          <w:szCs w:val="20"/>
        </w:rPr>
        <w:t xml:space="preserve">[2015] NSWSC 1762 </w:t>
      </w:r>
    </w:p>
    <w:p w14:paraId="00544753" w14:textId="77777777" w:rsidR="004C1E79" w:rsidRPr="00977A20" w:rsidRDefault="004C1E79" w:rsidP="00B92A4B">
      <w:pPr>
        <w:pStyle w:val="Default"/>
        <w:spacing w:after="51"/>
        <w:rPr>
          <w:rFonts w:ascii="Arial" w:hAnsi="Arial" w:cs="Arial"/>
          <w:color w:val="auto"/>
          <w:sz w:val="20"/>
          <w:szCs w:val="20"/>
        </w:rPr>
      </w:pPr>
    </w:p>
    <w:p w14:paraId="3C40F3BA" w14:textId="444C1E25" w:rsidR="004C1E79" w:rsidRDefault="00827CE2" w:rsidP="00B92A4B">
      <w:pPr>
        <w:pStyle w:val="Default"/>
        <w:spacing w:after="51"/>
        <w:ind w:firstLine="142"/>
        <w:rPr>
          <w:rFonts w:ascii="Arial" w:hAnsi="Arial" w:cs="Arial"/>
          <w:color w:val="auto"/>
          <w:sz w:val="20"/>
          <w:szCs w:val="20"/>
        </w:rPr>
      </w:pPr>
      <w:sdt>
        <w:sdtPr>
          <w:rPr>
            <w:rFonts w:ascii="Arial" w:hAnsi="Arial" w:cs="Arial"/>
            <w:color w:val="auto"/>
            <w:sz w:val="20"/>
            <w:szCs w:val="20"/>
          </w:rPr>
          <w:id w:val="307669217"/>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Mental illness: </w:t>
      </w:r>
      <w:r w:rsidR="004C1E79" w:rsidRPr="00977A20">
        <w:rPr>
          <w:rFonts w:ascii="Arial" w:hAnsi="Arial" w:cs="Arial"/>
          <w:i/>
          <w:iCs/>
          <w:color w:val="auto"/>
          <w:sz w:val="20"/>
          <w:szCs w:val="20"/>
        </w:rPr>
        <w:t>R v Bourke</w:t>
      </w:r>
      <w:r w:rsidR="004C1E79" w:rsidRPr="00977A20">
        <w:rPr>
          <w:rFonts w:ascii="Arial" w:hAnsi="Arial" w:cs="Arial"/>
          <w:color w:val="auto"/>
          <w:sz w:val="20"/>
          <w:szCs w:val="20"/>
        </w:rPr>
        <w:t xml:space="preserve">, NSWSC, McCallum J, 16 February 2015. </w:t>
      </w:r>
    </w:p>
    <w:p w14:paraId="22D2EADE" w14:textId="77777777" w:rsidR="004C1E79" w:rsidRPr="00977A20" w:rsidRDefault="004C1E79" w:rsidP="00B92A4B">
      <w:pPr>
        <w:pStyle w:val="Default"/>
        <w:spacing w:after="51"/>
        <w:rPr>
          <w:rFonts w:ascii="Arial" w:hAnsi="Arial" w:cs="Arial"/>
          <w:color w:val="auto"/>
          <w:sz w:val="20"/>
          <w:szCs w:val="20"/>
        </w:rPr>
      </w:pPr>
    </w:p>
    <w:p w14:paraId="10890EE2" w14:textId="6B559F7D" w:rsidR="004C1E79" w:rsidRDefault="00827CE2" w:rsidP="00B92A4B">
      <w:pPr>
        <w:pStyle w:val="Default"/>
        <w:spacing w:after="51"/>
        <w:ind w:left="720" w:hanging="578"/>
        <w:rPr>
          <w:rFonts w:ascii="Arial" w:hAnsi="Arial" w:cs="Arial"/>
          <w:color w:val="auto"/>
          <w:sz w:val="20"/>
          <w:szCs w:val="20"/>
        </w:rPr>
      </w:pPr>
      <w:sdt>
        <w:sdtPr>
          <w:rPr>
            <w:rFonts w:ascii="Arial" w:hAnsi="Arial" w:cs="Arial"/>
            <w:color w:val="auto"/>
            <w:sz w:val="20"/>
            <w:szCs w:val="20"/>
          </w:rPr>
          <w:id w:val="489299478"/>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Risk of offending high but relatively minor offences can show cause: </w:t>
      </w:r>
      <w:r w:rsidR="004C1E79" w:rsidRPr="00977A20">
        <w:rPr>
          <w:rFonts w:ascii="Arial" w:hAnsi="Arial" w:cs="Arial"/>
          <w:i/>
          <w:iCs/>
          <w:color w:val="auto"/>
          <w:sz w:val="20"/>
          <w:szCs w:val="20"/>
        </w:rPr>
        <w:t xml:space="preserve">R v </w:t>
      </w:r>
      <w:proofErr w:type="spellStart"/>
      <w:r w:rsidR="004C1E79" w:rsidRPr="00977A20">
        <w:rPr>
          <w:rFonts w:ascii="Arial" w:hAnsi="Arial" w:cs="Arial"/>
          <w:i/>
          <w:iCs/>
          <w:color w:val="auto"/>
          <w:sz w:val="20"/>
          <w:szCs w:val="20"/>
        </w:rPr>
        <w:t>Awad</w:t>
      </w:r>
      <w:proofErr w:type="spellEnd"/>
      <w:r w:rsidR="004C1E79" w:rsidRPr="00977A20">
        <w:rPr>
          <w:rFonts w:ascii="Arial" w:hAnsi="Arial" w:cs="Arial"/>
          <w:i/>
          <w:iCs/>
          <w:color w:val="auto"/>
          <w:sz w:val="20"/>
          <w:szCs w:val="20"/>
        </w:rPr>
        <w:t xml:space="preserve">, </w:t>
      </w:r>
      <w:r w:rsidR="004C1E79" w:rsidRPr="00977A20">
        <w:rPr>
          <w:rFonts w:ascii="Arial" w:hAnsi="Arial" w:cs="Arial"/>
          <w:color w:val="auto"/>
          <w:sz w:val="20"/>
          <w:szCs w:val="20"/>
        </w:rPr>
        <w:t xml:space="preserve">NSWSC, Davies J, 3 February 2015. </w:t>
      </w:r>
    </w:p>
    <w:p w14:paraId="750CAB78" w14:textId="77777777" w:rsidR="004C1E79" w:rsidRPr="00977A20" w:rsidRDefault="004C1E79" w:rsidP="00B92A4B">
      <w:pPr>
        <w:pStyle w:val="Default"/>
        <w:spacing w:after="51"/>
        <w:rPr>
          <w:rFonts w:ascii="Arial" w:hAnsi="Arial" w:cs="Arial"/>
          <w:color w:val="auto"/>
          <w:sz w:val="20"/>
          <w:szCs w:val="20"/>
        </w:rPr>
      </w:pPr>
    </w:p>
    <w:p w14:paraId="021B23B7" w14:textId="58096F28" w:rsidR="004C1E79" w:rsidRDefault="00827CE2" w:rsidP="00B92A4B">
      <w:pPr>
        <w:pStyle w:val="Default"/>
        <w:ind w:left="720" w:hanging="578"/>
        <w:rPr>
          <w:rFonts w:ascii="Arial" w:hAnsi="Arial" w:cs="Arial"/>
          <w:color w:val="auto"/>
          <w:sz w:val="20"/>
          <w:szCs w:val="20"/>
        </w:rPr>
      </w:pPr>
      <w:sdt>
        <w:sdtPr>
          <w:rPr>
            <w:rFonts w:ascii="Arial" w:hAnsi="Arial" w:cs="Arial"/>
            <w:color w:val="auto"/>
            <w:sz w:val="20"/>
            <w:szCs w:val="20"/>
          </w:rPr>
          <w:id w:val="-311110384"/>
          <w14:checkbox>
            <w14:checked w14:val="0"/>
            <w14:checkedState w14:val="2612" w14:font="MS Gothic"/>
            <w14:uncheckedState w14:val="2610" w14:font="MS Gothic"/>
          </w14:checkbox>
        </w:sdtPr>
        <w:sdtEndPr/>
        <w:sdtContent>
          <w:r w:rsidR="0059157A">
            <w:rPr>
              <w:rFonts w:ascii="MS Gothic" w:eastAsia="MS Gothic" w:hAnsi="MS Gothic" w:cs="Arial" w:hint="eastAsia"/>
              <w:color w:val="auto"/>
              <w:sz w:val="20"/>
              <w:szCs w:val="20"/>
            </w:rPr>
            <w:t>☐</w:t>
          </w:r>
        </w:sdtContent>
      </w:sdt>
      <w:r w:rsidR="0059157A">
        <w:rPr>
          <w:rFonts w:ascii="Arial" w:hAnsi="Arial" w:cs="Arial"/>
          <w:color w:val="auto"/>
          <w:sz w:val="20"/>
          <w:szCs w:val="20"/>
        </w:rPr>
        <w:tab/>
      </w:r>
      <w:r w:rsidR="004C1E79" w:rsidRPr="00977A20">
        <w:rPr>
          <w:rFonts w:ascii="Arial" w:hAnsi="Arial" w:cs="Arial"/>
          <w:color w:val="auto"/>
          <w:sz w:val="20"/>
          <w:szCs w:val="20"/>
        </w:rPr>
        <w:t xml:space="preserve">Aboriginality and </w:t>
      </w:r>
      <w:r w:rsidR="006C19F9">
        <w:rPr>
          <w:rFonts w:ascii="Arial" w:hAnsi="Arial" w:cs="Arial"/>
          <w:i/>
          <w:iCs/>
          <w:color w:val="auto"/>
          <w:sz w:val="20"/>
          <w:szCs w:val="20"/>
        </w:rPr>
        <w:t>Bugmy</w:t>
      </w:r>
      <w:r w:rsidR="004C1E79" w:rsidRPr="00977A20">
        <w:rPr>
          <w:rFonts w:ascii="Arial" w:hAnsi="Arial" w:cs="Arial"/>
          <w:i/>
          <w:iCs/>
          <w:color w:val="auto"/>
          <w:sz w:val="20"/>
          <w:szCs w:val="20"/>
        </w:rPr>
        <w:t xml:space="preserve">/Fernando </w:t>
      </w:r>
      <w:r w:rsidR="004C1E79" w:rsidRPr="00977A20">
        <w:rPr>
          <w:rFonts w:ascii="Arial" w:hAnsi="Arial" w:cs="Arial"/>
          <w:color w:val="auto"/>
          <w:sz w:val="20"/>
          <w:szCs w:val="20"/>
        </w:rPr>
        <w:t xml:space="preserve">type deprivation; </w:t>
      </w:r>
      <w:r w:rsidR="004C1E79" w:rsidRPr="00977A20">
        <w:rPr>
          <w:rFonts w:ascii="Arial" w:hAnsi="Arial" w:cs="Arial"/>
          <w:i/>
          <w:iCs/>
          <w:color w:val="auto"/>
          <w:sz w:val="20"/>
          <w:szCs w:val="20"/>
        </w:rPr>
        <w:t xml:space="preserve">R v </w:t>
      </w:r>
      <w:proofErr w:type="spellStart"/>
      <w:r w:rsidR="004C1E79" w:rsidRPr="00977A20">
        <w:rPr>
          <w:rFonts w:ascii="Arial" w:hAnsi="Arial" w:cs="Arial"/>
          <w:i/>
          <w:iCs/>
          <w:color w:val="auto"/>
          <w:sz w:val="20"/>
          <w:szCs w:val="20"/>
        </w:rPr>
        <w:t>Alchin</w:t>
      </w:r>
      <w:proofErr w:type="spellEnd"/>
      <w:r w:rsidR="004C1E79" w:rsidRPr="00977A20">
        <w:rPr>
          <w:rFonts w:ascii="Arial" w:hAnsi="Arial" w:cs="Arial"/>
          <w:color w:val="auto"/>
          <w:sz w:val="20"/>
          <w:szCs w:val="20"/>
        </w:rPr>
        <w:t xml:space="preserve">, NSWSC, McCallum J, 16 February 2015, </w:t>
      </w:r>
      <w:r w:rsidR="004C1E79" w:rsidRPr="00977A20">
        <w:rPr>
          <w:rFonts w:ascii="Arial" w:hAnsi="Arial" w:cs="Arial"/>
          <w:i/>
          <w:iCs/>
          <w:color w:val="auto"/>
          <w:sz w:val="20"/>
          <w:szCs w:val="20"/>
        </w:rPr>
        <w:t>R v Wright</w:t>
      </w:r>
      <w:r w:rsidR="004C1E79" w:rsidRPr="00977A20">
        <w:rPr>
          <w:rFonts w:ascii="Arial" w:hAnsi="Arial" w:cs="Arial"/>
          <w:color w:val="auto"/>
          <w:sz w:val="20"/>
          <w:szCs w:val="20"/>
        </w:rPr>
        <w:t xml:space="preserve">, NSWSC, Rothman J, 7 April 2015. </w:t>
      </w:r>
    </w:p>
    <w:p w14:paraId="7A9A0FBE" w14:textId="77777777" w:rsidR="0064404D" w:rsidRPr="00977A20" w:rsidRDefault="0064404D" w:rsidP="00B92A4B">
      <w:pPr>
        <w:pStyle w:val="Default"/>
        <w:ind w:left="720" w:hanging="578"/>
        <w:rPr>
          <w:rFonts w:ascii="Arial" w:hAnsi="Arial" w:cs="Arial"/>
          <w:color w:val="auto"/>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D24A06" w14:paraId="1C014DC7" w14:textId="77777777" w:rsidTr="00215FBA">
        <w:trPr>
          <w:trHeight w:val="340"/>
        </w:trPr>
        <w:tc>
          <w:tcPr>
            <w:tcW w:w="9158" w:type="dxa"/>
            <w:shd w:val="clear" w:color="auto" w:fill="F2F2F2" w:themeFill="background1" w:themeFillShade="F2"/>
            <w:vAlign w:val="center"/>
          </w:tcPr>
          <w:p w14:paraId="3641F92F" w14:textId="5BE798E7" w:rsidR="00D24A06" w:rsidRPr="00215FBA" w:rsidRDefault="00215FBA" w:rsidP="00D24A06">
            <w:pPr>
              <w:rPr>
                <w:rFonts w:ascii="Arial" w:hAnsi="Arial" w:cs="Arial"/>
                <w:b/>
                <w:bCs/>
                <w:sz w:val="20"/>
                <w:szCs w:val="20"/>
              </w:rPr>
            </w:pPr>
            <w:r w:rsidRPr="004C1E79">
              <w:rPr>
                <w:rFonts w:ascii="Arial" w:hAnsi="Arial" w:cs="Arial"/>
                <w:b/>
                <w:bCs/>
                <w:sz w:val="20"/>
                <w:szCs w:val="20"/>
              </w:rPr>
              <w:t>Why does the applicant show cause why their detention is not justified?</w:t>
            </w:r>
          </w:p>
        </w:tc>
      </w:tr>
    </w:tbl>
    <w:p w14:paraId="18CE5480" w14:textId="77777777" w:rsidR="004C1E79" w:rsidRPr="00977A20" w:rsidRDefault="004C1E79" w:rsidP="00B92A4B">
      <w:pPr>
        <w:rPr>
          <w:rFonts w:ascii="Arial" w:hAnsi="Arial" w:cs="Arial"/>
          <w:sz w:val="20"/>
          <w:szCs w:val="20"/>
          <w:u w:val="single"/>
        </w:rPr>
      </w:pPr>
    </w:p>
    <w:p w14:paraId="357AEE9A" w14:textId="77777777" w:rsidR="004C1E79" w:rsidRPr="005379F2" w:rsidRDefault="004C1E79" w:rsidP="00B92A4B">
      <w:pPr>
        <w:rPr>
          <w:rFonts w:ascii="Arial" w:hAnsi="Arial" w:cs="Arial"/>
          <w:i/>
          <w:iCs/>
          <w:sz w:val="20"/>
          <w:szCs w:val="20"/>
        </w:rPr>
      </w:pPr>
      <w:r w:rsidRPr="005379F2">
        <w:rPr>
          <w:rFonts w:ascii="Arial" w:hAnsi="Arial" w:cs="Arial"/>
          <w:i/>
          <w:iCs/>
          <w:sz w:val="20"/>
          <w:szCs w:val="20"/>
        </w:rPr>
        <w:t>(</w:t>
      </w:r>
      <w:proofErr w:type="spellStart"/>
      <w:r w:rsidRPr="005379F2">
        <w:rPr>
          <w:rFonts w:ascii="Arial" w:hAnsi="Arial" w:cs="Arial"/>
          <w:i/>
          <w:iCs/>
          <w:sz w:val="20"/>
          <w:szCs w:val="20"/>
        </w:rPr>
        <w:t>i.e</w:t>
      </w:r>
      <w:proofErr w:type="spellEnd"/>
      <w:r w:rsidRPr="005379F2">
        <w:rPr>
          <w:rFonts w:ascii="Arial" w:hAnsi="Arial" w:cs="Arial"/>
          <w:i/>
          <w:iCs/>
          <w:sz w:val="20"/>
          <w:szCs w:val="20"/>
        </w:rPr>
        <w:t xml:space="preserve"> combination of factors: weak prosecution case, time in custody will be longer than any sentence awaiting trial and needs medical treatment)</w:t>
      </w:r>
    </w:p>
    <w:p w14:paraId="1AF4C679" w14:textId="035AF2E6" w:rsidR="004C1E79" w:rsidRDefault="004C1E79" w:rsidP="00B92A4B">
      <w:pPr>
        <w:rPr>
          <w:rFonts w:ascii="Arial" w:hAnsi="Arial" w:cs="Arial"/>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215FBA" w14:paraId="2BD481F7" w14:textId="77777777" w:rsidTr="00215FBA">
        <w:trPr>
          <w:trHeight w:val="340"/>
        </w:trPr>
        <w:tc>
          <w:tcPr>
            <w:tcW w:w="9158" w:type="dxa"/>
            <w:shd w:val="clear" w:color="auto" w:fill="F2F2F2" w:themeFill="background1" w:themeFillShade="F2"/>
            <w:vAlign w:val="center"/>
          </w:tcPr>
          <w:p w14:paraId="05ABD344" w14:textId="07B1BFCB" w:rsidR="00215FBA" w:rsidRDefault="00215FBA" w:rsidP="00215FBA">
            <w:pPr>
              <w:rPr>
                <w:rFonts w:ascii="Arial" w:hAnsi="Arial" w:cs="Arial"/>
                <w:sz w:val="20"/>
                <w:szCs w:val="20"/>
              </w:rPr>
            </w:pPr>
            <w:r w:rsidRPr="004C1E79">
              <w:rPr>
                <w:rFonts w:ascii="Arial" w:eastAsia="Times New Roman" w:hAnsi="Arial" w:cs="Arial"/>
                <w:b/>
                <w:bCs/>
                <w:spacing w:val="-5"/>
                <w:kern w:val="36"/>
                <w:sz w:val="20"/>
                <w:szCs w:val="20"/>
                <w:lang w:val="en-AU" w:eastAsia="en-AU"/>
              </w:rPr>
              <w:t xml:space="preserve">Unacceptable </w:t>
            </w:r>
            <w:r>
              <w:rPr>
                <w:rFonts w:ascii="Arial" w:eastAsia="Times New Roman" w:hAnsi="Arial" w:cs="Arial"/>
                <w:b/>
                <w:bCs/>
                <w:spacing w:val="-5"/>
                <w:kern w:val="36"/>
                <w:sz w:val="20"/>
                <w:szCs w:val="20"/>
                <w:lang w:val="en-AU" w:eastAsia="en-AU"/>
              </w:rPr>
              <w:t>risk test</w:t>
            </w:r>
          </w:p>
        </w:tc>
      </w:tr>
    </w:tbl>
    <w:p w14:paraId="1E32721E" w14:textId="77777777" w:rsidR="004C1E79" w:rsidRDefault="004C1E79" w:rsidP="00B92A4B">
      <w:pPr>
        <w:rPr>
          <w:rFonts w:ascii="Arial" w:hAnsi="Arial" w:cs="Arial"/>
          <w:sz w:val="20"/>
          <w:szCs w:val="20"/>
        </w:rPr>
      </w:pPr>
    </w:p>
    <w:p w14:paraId="75BA66A0" w14:textId="77777777" w:rsidR="004C1E79" w:rsidRDefault="004C1E79" w:rsidP="00B92A4B">
      <w:pPr>
        <w:rPr>
          <w:rFonts w:ascii="Arial" w:eastAsia="Times New Roman" w:hAnsi="Arial" w:cs="Arial"/>
          <w:spacing w:val="-5"/>
          <w:kern w:val="36"/>
          <w:sz w:val="20"/>
          <w:szCs w:val="20"/>
          <w:lang w:val="en-AU" w:eastAsia="en-AU"/>
        </w:rPr>
      </w:pPr>
      <w:r w:rsidRPr="00977A20">
        <w:rPr>
          <w:rFonts w:ascii="Arial" w:eastAsia="Times New Roman" w:hAnsi="Arial" w:cs="Arial"/>
          <w:spacing w:val="-5"/>
          <w:kern w:val="36"/>
          <w:sz w:val="20"/>
          <w:szCs w:val="20"/>
          <w:lang w:val="en-AU" w:eastAsia="en-AU"/>
        </w:rPr>
        <w:t>Below are the matters to be considered as part of assessment of bail concerns if the applicant has shown cause or does not have to show cause.</w:t>
      </w:r>
    </w:p>
    <w:p w14:paraId="1A15DE3B" w14:textId="77777777" w:rsidR="004C1E79" w:rsidRDefault="004C1E79" w:rsidP="00B92A4B">
      <w:pPr>
        <w:rPr>
          <w:rFonts w:ascii="Arial" w:eastAsia="Times New Roman" w:hAnsi="Arial" w:cs="Arial"/>
          <w:spacing w:val="-5"/>
          <w:kern w:val="36"/>
          <w:sz w:val="20"/>
          <w:szCs w:val="20"/>
          <w:lang w:val="en-AU" w:eastAsia="en-AU"/>
        </w:rPr>
      </w:pPr>
    </w:p>
    <w:p w14:paraId="64E14AAC" w14:textId="505FA8AE" w:rsidR="004C1E79" w:rsidRDefault="004C1E79" w:rsidP="00B92A4B">
      <w:pPr>
        <w:rPr>
          <w:rFonts w:ascii="Arial" w:eastAsia="Times New Roman" w:hAnsi="Arial" w:cs="Arial"/>
          <w:spacing w:val="-5"/>
          <w:kern w:val="36"/>
          <w:sz w:val="20"/>
          <w:szCs w:val="20"/>
          <w:lang w:val="en-AU" w:eastAsia="en-AU"/>
        </w:rPr>
      </w:pPr>
      <w:r w:rsidRPr="00977A20">
        <w:rPr>
          <w:rFonts w:ascii="Arial" w:eastAsia="Times New Roman" w:hAnsi="Arial" w:cs="Arial"/>
          <w:spacing w:val="-5"/>
          <w:kern w:val="36"/>
          <w:sz w:val="20"/>
          <w:szCs w:val="20"/>
          <w:lang w:val="en-AU" w:eastAsia="en-AU"/>
        </w:rPr>
        <w:t xml:space="preserve">The below sets out factors identified in s18 of the </w:t>
      </w:r>
      <w:r w:rsidRPr="00977A20">
        <w:rPr>
          <w:rFonts w:ascii="Arial" w:eastAsia="Times New Roman" w:hAnsi="Arial" w:cs="Arial"/>
          <w:i/>
          <w:iCs/>
          <w:spacing w:val="-5"/>
          <w:kern w:val="36"/>
          <w:sz w:val="20"/>
          <w:szCs w:val="20"/>
          <w:lang w:val="en-AU" w:eastAsia="en-AU"/>
        </w:rPr>
        <w:t xml:space="preserve">Bail Act </w:t>
      </w:r>
      <w:r w:rsidRPr="00977A20">
        <w:rPr>
          <w:rFonts w:ascii="Arial" w:eastAsia="Times New Roman" w:hAnsi="Arial" w:cs="Arial"/>
          <w:spacing w:val="-5"/>
          <w:kern w:val="36"/>
          <w:sz w:val="20"/>
          <w:szCs w:val="20"/>
          <w:lang w:val="en-AU" w:eastAsia="en-AU"/>
        </w:rPr>
        <w:t xml:space="preserve">that are suggested by the author to be relevant for each of the identified concerns in the </w:t>
      </w:r>
      <w:r w:rsidRPr="00977A20">
        <w:rPr>
          <w:rFonts w:ascii="Arial" w:eastAsia="Times New Roman" w:hAnsi="Arial" w:cs="Arial"/>
          <w:i/>
          <w:iCs/>
          <w:spacing w:val="-5"/>
          <w:kern w:val="36"/>
          <w:sz w:val="20"/>
          <w:szCs w:val="20"/>
          <w:lang w:val="en-AU" w:eastAsia="en-AU"/>
        </w:rPr>
        <w:t xml:space="preserve">Bail Act, </w:t>
      </w:r>
      <w:r w:rsidRPr="00977A20">
        <w:rPr>
          <w:rFonts w:ascii="Arial" w:eastAsia="Times New Roman" w:hAnsi="Arial" w:cs="Arial"/>
          <w:spacing w:val="-5"/>
          <w:kern w:val="36"/>
          <w:sz w:val="20"/>
          <w:szCs w:val="20"/>
          <w:lang w:val="en-AU" w:eastAsia="en-AU"/>
        </w:rPr>
        <w:t>this is of course a suggestion only. Included below the identified sections at points below are again suggestions only for submissions relevant to those factors. Please also note this template does not address the specific considerations for persons accused of terrorist offences or for appeals bail.</w:t>
      </w:r>
    </w:p>
    <w:p w14:paraId="00D70AC9" w14:textId="57D58602" w:rsidR="0064404D" w:rsidRDefault="0064404D" w:rsidP="00B92A4B">
      <w:pPr>
        <w:rPr>
          <w:rFonts w:ascii="Arial" w:eastAsia="Times New Roman" w:hAnsi="Arial" w:cs="Arial"/>
          <w:spacing w:val="-5"/>
          <w:kern w:val="36"/>
          <w:sz w:val="20"/>
          <w:szCs w:val="20"/>
          <w:lang w:val="en-AU" w:eastAsia="en-AU"/>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215FBA" w14:paraId="4E21464D" w14:textId="77777777" w:rsidTr="00215FBA">
        <w:trPr>
          <w:trHeight w:val="340"/>
        </w:trPr>
        <w:tc>
          <w:tcPr>
            <w:tcW w:w="9158" w:type="dxa"/>
            <w:shd w:val="clear" w:color="auto" w:fill="F2F2F2" w:themeFill="background1" w:themeFillShade="F2"/>
            <w:vAlign w:val="center"/>
          </w:tcPr>
          <w:p w14:paraId="0D248C26" w14:textId="41BC78AF" w:rsidR="00215FBA" w:rsidRPr="00215FBA" w:rsidRDefault="00215FBA" w:rsidP="00215FBA">
            <w:pPr>
              <w:rPr>
                <w:rFonts w:ascii="Arial" w:hAnsi="Arial" w:cs="Arial"/>
                <w:b/>
                <w:iCs/>
                <w:sz w:val="20"/>
                <w:szCs w:val="20"/>
              </w:rPr>
            </w:pPr>
            <w:r w:rsidRPr="004C1E79">
              <w:rPr>
                <w:rFonts w:ascii="Arial" w:hAnsi="Arial" w:cs="Arial"/>
                <w:b/>
                <w:iCs/>
                <w:sz w:val="20"/>
                <w:szCs w:val="20"/>
              </w:rPr>
              <w:t>Preliminary factors</w:t>
            </w:r>
          </w:p>
        </w:tc>
      </w:tr>
    </w:tbl>
    <w:p w14:paraId="3582D71D" w14:textId="77777777" w:rsidR="00215FBA" w:rsidRDefault="00215FBA" w:rsidP="00B92A4B">
      <w:pPr>
        <w:rPr>
          <w:rFonts w:ascii="Arial" w:eastAsia="Times New Roman" w:hAnsi="Arial" w:cs="Arial"/>
          <w:spacing w:val="-5"/>
          <w:kern w:val="36"/>
          <w:sz w:val="20"/>
          <w:szCs w:val="20"/>
          <w:lang w:val="en-AU" w:eastAsia="en-AU"/>
        </w:rPr>
      </w:pPr>
    </w:p>
    <w:p w14:paraId="35B34495" w14:textId="77777777" w:rsidR="004C1E79" w:rsidRPr="00977A20" w:rsidRDefault="004C1E79" w:rsidP="00B92A4B">
      <w:pPr>
        <w:spacing w:after="160"/>
        <w:rPr>
          <w:rFonts w:ascii="Arial" w:hAnsi="Arial" w:cs="Arial"/>
          <w:b/>
          <w:iCs/>
          <w:sz w:val="20"/>
          <w:szCs w:val="20"/>
          <w:u w:val="single"/>
        </w:rPr>
      </w:pPr>
      <w:r w:rsidRPr="00977A20">
        <w:rPr>
          <w:rFonts w:ascii="Arial" w:hAnsi="Arial" w:cs="Arial"/>
          <w:bCs/>
          <w:iCs/>
          <w:sz w:val="20"/>
          <w:szCs w:val="20"/>
        </w:rPr>
        <w:t>These are all relevant to the common law right to be at liberty and are all important considerations but do not, it is suggested, specifically relate to any particular concern.</w:t>
      </w:r>
    </w:p>
    <w:p w14:paraId="395AE99D" w14:textId="6160B1C9" w:rsidR="004C1E79" w:rsidRPr="00977A20" w:rsidRDefault="004C1E79" w:rsidP="00B92A4B">
      <w:pPr>
        <w:pStyle w:val="ListParagraph"/>
        <w:numPr>
          <w:ilvl w:val="0"/>
          <w:numId w:val="2"/>
        </w:numPr>
        <w:rPr>
          <w:rFonts w:ascii="Arial" w:hAnsi="Arial" w:cs="Arial"/>
          <w:sz w:val="20"/>
          <w:szCs w:val="20"/>
        </w:rPr>
      </w:pPr>
      <w:r w:rsidRPr="00977A20">
        <w:rPr>
          <w:rFonts w:ascii="Arial" w:hAnsi="Arial" w:cs="Arial"/>
          <w:sz w:val="20"/>
          <w:szCs w:val="20"/>
          <w:shd w:val="clear" w:color="auto" w:fill="FFFFFF"/>
        </w:rPr>
        <w:t xml:space="preserve">s18(1)(h) the length of time the </w:t>
      </w:r>
      <w:r w:rsidRPr="005379F2">
        <w:rPr>
          <w:rFonts w:ascii="Arial" w:hAnsi="Arial" w:cs="Arial"/>
          <w:sz w:val="20"/>
          <w:szCs w:val="20"/>
        </w:rPr>
        <w:t>accused person</w:t>
      </w:r>
      <w:r w:rsidRPr="00977A20">
        <w:rPr>
          <w:rFonts w:ascii="Arial" w:hAnsi="Arial" w:cs="Arial"/>
          <w:sz w:val="20"/>
          <w:szCs w:val="20"/>
          <w:shd w:val="clear" w:color="auto" w:fill="FFFFFF"/>
        </w:rPr>
        <w:t xml:space="preserve"> is likely to spend in custody if </w:t>
      </w:r>
      <w:r w:rsidRPr="005379F2">
        <w:rPr>
          <w:rFonts w:ascii="Arial" w:hAnsi="Arial" w:cs="Arial"/>
          <w:sz w:val="20"/>
          <w:szCs w:val="20"/>
        </w:rPr>
        <w:t>bail</w:t>
      </w:r>
      <w:r w:rsidRPr="00977A20">
        <w:rPr>
          <w:rFonts w:ascii="Arial" w:hAnsi="Arial" w:cs="Arial"/>
          <w:sz w:val="20"/>
          <w:szCs w:val="20"/>
          <w:shd w:val="clear" w:color="auto" w:fill="FFFFFF"/>
        </w:rPr>
        <w:t xml:space="preserve"> is refused</w:t>
      </w:r>
    </w:p>
    <w:p w14:paraId="6FC0EB92" w14:textId="77777777" w:rsidR="004C1E79" w:rsidRPr="00977A20" w:rsidRDefault="004C1E79" w:rsidP="00B92A4B">
      <w:pPr>
        <w:rPr>
          <w:rFonts w:ascii="Arial" w:hAnsi="Arial" w:cs="Arial"/>
          <w:sz w:val="20"/>
          <w:szCs w:val="20"/>
        </w:rPr>
      </w:pPr>
    </w:p>
    <w:p w14:paraId="571A4170" w14:textId="44E66FEB" w:rsidR="004C1E79" w:rsidRPr="00977A20" w:rsidRDefault="004C1E79" w:rsidP="00B92A4B">
      <w:pPr>
        <w:pStyle w:val="ListParagraph"/>
        <w:numPr>
          <w:ilvl w:val="0"/>
          <w:numId w:val="2"/>
        </w:numPr>
        <w:rPr>
          <w:rFonts w:ascii="Arial" w:hAnsi="Arial" w:cs="Arial"/>
          <w:sz w:val="20"/>
          <w:szCs w:val="20"/>
        </w:rPr>
      </w:pPr>
      <w:r w:rsidRPr="00977A20">
        <w:rPr>
          <w:rFonts w:ascii="Arial" w:hAnsi="Arial" w:cs="Arial"/>
          <w:sz w:val="20"/>
          <w:szCs w:val="20"/>
          <w:shd w:val="clear" w:color="auto" w:fill="FFFFFF"/>
        </w:rPr>
        <w:t xml:space="preserve">s18(1)(k) any special vulnerability or needs the </w:t>
      </w:r>
      <w:r w:rsidRPr="005379F2">
        <w:rPr>
          <w:rFonts w:ascii="Arial" w:hAnsi="Arial" w:cs="Arial"/>
          <w:sz w:val="20"/>
          <w:szCs w:val="20"/>
        </w:rPr>
        <w:t>accused person</w:t>
      </w:r>
      <w:r w:rsidRPr="00977A20">
        <w:rPr>
          <w:rFonts w:ascii="Arial" w:hAnsi="Arial" w:cs="Arial"/>
          <w:sz w:val="20"/>
          <w:szCs w:val="20"/>
          <w:shd w:val="clear" w:color="auto" w:fill="FFFFFF"/>
        </w:rPr>
        <w:t xml:space="preserve"> has including because of youth, being an Aboriginal or Torres Strait Islander, or having a cognitive or mental health impairment</w:t>
      </w:r>
    </w:p>
    <w:p w14:paraId="254D5A34" w14:textId="77777777" w:rsidR="004C1E79" w:rsidRPr="00977A20" w:rsidRDefault="004C1E79" w:rsidP="00B92A4B">
      <w:pPr>
        <w:rPr>
          <w:rFonts w:ascii="Arial" w:hAnsi="Arial" w:cs="Arial"/>
          <w:sz w:val="20"/>
          <w:szCs w:val="20"/>
        </w:rPr>
      </w:pPr>
    </w:p>
    <w:p w14:paraId="238A41AD" w14:textId="6F8170CD" w:rsidR="004C1E79" w:rsidRPr="00977A20" w:rsidRDefault="004C1E79" w:rsidP="00B92A4B">
      <w:pPr>
        <w:pStyle w:val="ListParagraph"/>
        <w:numPr>
          <w:ilvl w:val="0"/>
          <w:numId w:val="2"/>
        </w:numPr>
        <w:rPr>
          <w:rFonts w:ascii="Arial" w:hAnsi="Arial" w:cs="Arial"/>
          <w:sz w:val="20"/>
          <w:szCs w:val="20"/>
        </w:rPr>
      </w:pPr>
      <w:r w:rsidRPr="00977A20">
        <w:rPr>
          <w:rFonts w:ascii="Arial" w:hAnsi="Arial" w:cs="Arial"/>
          <w:sz w:val="20"/>
          <w:szCs w:val="20"/>
          <w:shd w:val="clear" w:color="auto" w:fill="FFFFFF"/>
        </w:rPr>
        <w:t xml:space="preserve">s18(1)(l) the need for the </w:t>
      </w:r>
      <w:r w:rsidRPr="005379F2">
        <w:rPr>
          <w:rFonts w:ascii="Arial" w:hAnsi="Arial" w:cs="Arial"/>
          <w:sz w:val="20"/>
          <w:szCs w:val="20"/>
        </w:rPr>
        <w:t>accused person</w:t>
      </w:r>
      <w:r w:rsidRPr="00977A20">
        <w:rPr>
          <w:rFonts w:ascii="Arial" w:hAnsi="Arial" w:cs="Arial"/>
          <w:sz w:val="20"/>
          <w:szCs w:val="20"/>
          <w:shd w:val="clear" w:color="auto" w:fill="FFFFFF"/>
        </w:rPr>
        <w:t xml:space="preserve"> to be free to prepare for his or her appearance in </w:t>
      </w:r>
      <w:r w:rsidRPr="005379F2">
        <w:rPr>
          <w:rFonts w:ascii="Arial" w:hAnsi="Arial" w:cs="Arial"/>
          <w:sz w:val="20"/>
          <w:szCs w:val="20"/>
        </w:rPr>
        <w:t>court</w:t>
      </w:r>
      <w:r w:rsidRPr="00977A20">
        <w:rPr>
          <w:rFonts w:ascii="Arial" w:hAnsi="Arial" w:cs="Arial"/>
          <w:sz w:val="20"/>
          <w:szCs w:val="20"/>
          <w:shd w:val="clear" w:color="auto" w:fill="FFFFFF"/>
        </w:rPr>
        <w:t xml:space="preserve"> or to obtain legal advice</w:t>
      </w:r>
    </w:p>
    <w:p w14:paraId="042D851C" w14:textId="77777777" w:rsidR="004C1E79" w:rsidRPr="00977A20" w:rsidRDefault="004C1E79" w:rsidP="00B92A4B">
      <w:pPr>
        <w:rPr>
          <w:rFonts w:ascii="Arial" w:hAnsi="Arial" w:cs="Arial"/>
          <w:sz w:val="20"/>
          <w:szCs w:val="20"/>
          <w:shd w:val="clear" w:color="auto" w:fill="FFFFFF"/>
        </w:rPr>
      </w:pPr>
    </w:p>
    <w:p w14:paraId="6158305A" w14:textId="1F9EB527" w:rsidR="004C1E79" w:rsidRPr="00977A20" w:rsidRDefault="004C1E79" w:rsidP="00B92A4B">
      <w:pPr>
        <w:pStyle w:val="ListParagraph"/>
        <w:numPr>
          <w:ilvl w:val="0"/>
          <w:numId w:val="2"/>
        </w:numPr>
        <w:rPr>
          <w:rFonts w:ascii="Arial" w:hAnsi="Arial" w:cs="Arial"/>
          <w:sz w:val="20"/>
          <w:szCs w:val="20"/>
        </w:rPr>
      </w:pPr>
      <w:r w:rsidRPr="00977A20">
        <w:rPr>
          <w:rFonts w:ascii="Arial" w:hAnsi="Arial" w:cs="Arial"/>
          <w:sz w:val="20"/>
          <w:szCs w:val="20"/>
          <w:shd w:val="clear" w:color="auto" w:fill="FFFFFF"/>
        </w:rPr>
        <w:t xml:space="preserve">s18(1)(m) the need for the </w:t>
      </w:r>
      <w:r w:rsidRPr="005379F2">
        <w:rPr>
          <w:rFonts w:ascii="Arial" w:hAnsi="Arial" w:cs="Arial"/>
          <w:sz w:val="20"/>
          <w:szCs w:val="20"/>
        </w:rPr>
        <w:t>accused person</w:t>
      </w:r>
      <w:r w:rsidRPr="00977A20">
        <w:rPr>
          <w:rFonts w:ascii="Arial" w:hAnsi="Arial" w:cs="Arial"/>
          <w:sz w:val="20"/>
          <w:szCs w:val="20"/>
          <w:shd w:val="clear" w:color="auto" w:fill="FFFFFF"/>
        </w:rPr>
        <w:t xml:space="preserve"> to be free for any other lawful reason</w:t>
      </w:r>
      <w:r w:rsidRPr="00977A20">
        <w:rPr>
          <w:rFonts w:ascii="Arial" w:hAnsi="Arial" w:cs="Arial"/>
          <w:sz w:val="20"/>
          <w:szCs w:val="20"/>
        </w:rPr>
        <w:t xml:space="preserve"> (</w:t>
      </w:r>
      <w:proofErr w:type="spellStart"/>
      <w:r w:rsidRPr="00977A20">
        <w:rPr>
          <w:rFonts w:ascii="Arial" w:hAnsi="Arial" w:cs="Arial"/>
          <w:sz w:val="20"/>
          <w:szCs w:val="20"/>
        </w:rPr>
        <w:t>i.e</w:t>
      </w:r>
      <w:proofErr w:type="spellEnd"/>
      <w:r w:rsidRPr="00977A20">
        <w:rPr>
          <w:rFonts w:ascii="Arial" w:hAnsi="Arial" w:cs="Arial"/>
          <w:sz w:val="20"/>
          <w:szCs w:val="20"/>
        </w:rPr>
        <w:t xml:space="preserve"> work, childcare or </w:t>
      </w:r>
      <w:proofErr w:type="spellStart"/>
      <w:r w:rsidRPr="00977A20">
        <w:rPr>
          <w:rFonts w:ascii="Arial" w:hAnsi="Arial" w:cs="Arial"/>
          <w:sz w:val="20"/>
          <w:szCs w:val="20"/>
        </w:rPr>
        <w:t>carer</w:t>
      </w:r>
      <w:proofErr w:type="spellEnd"/>
      <w:r w:rsidRPr="00977A20">
        <w:rPr>
          <w:rFonts w:ascii="Arial" w:hAnsi="Arial" w:cs="Arial"/>
          <w:sz w:val="20"/>
          <w:szCs w:val="20"/>
        </w:rPr>
        <w:t xml:space="preserve"> responsibilities)</w:t>
      </w:r>
    </w:p>
    <w:p w14:paraId="0F43DAD8" w14:textId="77777777" w:rsidR="004C1E79" w:rsidRPr="00977A20" w:rsidRDefault="004C1E79" w:rsidP="00B92A4B">
      <w:pPr>
        <w:rPr>
          <w:rFonts w:ascii="Arial" w:hAnsi="Arial" w:cs="Arial"/>
          <w:sz w:val="20"/>
          <w:szCs w:val="20"/>
        </w:rPr>
      </w:pPr>
    </w:p>
    <w:tbl>
      <w:tblPr>
        <w:tblStyle w:val="TableGrid"/>
        <w:tblW w:w="9356" w:type="dxa"/>
        <w:tblInd w:w="-142" w:type="dxa"/>
        <w:shd w:val="clear" w:color="auto" w:fill="F2F2F2" w:themeFill="background1" w:themeFillShade="F2"/>
        <w:tblLook w:val="04A0" w:firstRow="1" w:lastRow="0" w:firstColumn="1" w:lastColumn="0" w:noHBand="0" w:noVBand="1"/>
      </w:tblPr>
      <w:tblGrid>
        <w:gridCol w:w="9356"/>
      </w:tblGrid>
      <w:tr w:rsidR="00215FBA" w14:paraId="3C0B16E1" w14:textId="77777777" w:rsidTr="00215FBA">
        <w:trPr>
          <w:trHeight w:val="340"/>
        </w:trPr>
        <w:tc>
          <w:tcPr>
            <w:tcW w:w="9356" w:type="dxa"/>
            <w:tcBorders>
              <w:top w:val="nil"/>
              <w:left w:val="nil"/>
              <w:bottom w:val="nil"/>
              <w:right w:val="nil"/>
            </w:tcBorders>
            <w:shd w:val="clear" w:color="auto" w:fill="F2F2F2" w:themeFill="background1" w:themeFillShade="F2"/>
            <w:vAlign w:val="center"/>
          </w:tcPr>
          <w:p w14:paraId="52B31A77" w14:textId="35DB3F65" w:rsidR="00215FBA" w:rsidRPr="00215FBA" w:rsidRDefault="00215FBA" w:rsidP="00215FBA">
            <w:pPr>
              <w:shd w:val="clear" w:color="auto" w:fill="F2F2F2" w:themeFill="background1" w:themeFillShade="F2"/>
              <w:rPr>
                <w:rFonts w:ascii="Arial" w:hAnsi="Arial" w:cs="Arial"/>
                <w:b/>
                <w:iCs/>
                <w:sz w:val="20"/>
                <w:szCs w:val="20"/>
              </w:rPr>
            </w:pPr>
            <w:r w:rsidRPr="004C1E79">
              <w:rPr>
                <w:rFonts w:ascii="Arial" w:hAnsi="Arial" w:cs="Arial"/>
                <w:b/>
                <w:iCs/>
                <w:sz w:val="20"/>
                <w:szCs w:val="20"/>
              </w:rPr>
              <w:t>Relevant matters in assessing the s17(2)(a) concern that the accused person will fail to appear</w:t>
            </w:r>
          </w:p>
        </w:tc>
      </w:tr>
    </w:tbl>
    <w:p w14:paraId="224F0B3A" w14:textId="40C05415" w:rsidR="004C1E79" w:rsidRPr="00977A20" w:rsidRDefault="004C1E79" w:rsidP="00B92A4B">
      <w:pPr>
        <w:rPr>
          <w:rFonts w:ascii="Arial" w:hAnsi="Arial" w:cs="Arial"/>
          <w:sz w:val="20"/>
          <w:szCs w:val="20"/>
        </w:rPr>
      </w:pPr>
    </w:p>
    <w:p w14:paraId="4D6E808B" w14:textId="1097BF86" w:rsidR="004C1E79" w:rsidRPr="005379F2"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 xml:space="preserve">s18(1)(a) the </w:t>
      </w:r>
      <w:r w:rsidRPr="005379F2">
        <w:rPr>
          <w:rFonts w:ascii="Arial" w:hAnsi="Arial" w:cs="Arial"/>
          <w:sz w:val="20"/>
          <w:szCs w:val="20"/>
        </w:rPr>
        <w:t>accused person</w:t>
      </w:r>
      <w:r w:rsidRPr="00977A20">
        <w:rPr>
          <w:rFonts w:ascii="Arial" w:hAnsi="Arial" w:cs="Arial"/>
          <w:sz w:val="20"/>
          <w:szCs w:val="20"/>
          <w:shd w:val="clear" w:color="auto" w:fill="FFFFFF"/>
        </w:rPr>
        <w:t>'s background, including criminal history, circumstances and community ties</w:t>
      </w:r>
    </w:p>
    <w:p w14:paraId="289B22B1" w14:textId="77777777" w:rsidR="005379F2" w:rsidRPr="00977A20" w:rsidRDefault="005379F2" w:rsidP="00B92A4B">
      <w:pPr>
        <w:pStyle w:val="ListParagraph"/>
        <w:ind w:left="567"/>
        <w:rPr>
          <w:rFonts w:ascii="Arial" w:hAnsi="Arial" w:cs="Arial"/>
          <w:sz w:val="20"/>
          <w:szCs w:val="20"/>
        </w:rPr>
      </w:pPr>
    </w:p>
    <w:p w14:paraId="2346317C" w14:textId="77777777" w:rsidR="004C1E79" w:rsidRPr="00977A20" w:rsidRDefault="004C1E79" w:rsidP="00B92A4B">
      <w:pPr>
        <w:ind w:left="567"/>
        <w:rPr>
          <w:rFonts w:ascii="Arial" w:hAnsi="Arial" w:cs="Arial"/>
          <w:sz w:val="20"/>
          <w:szCs w:val="20"/>
        </w:rPr>
      </w:pPr>
      <w:r w:rsidRPr="00977A20">
        <w:rPr>
          <w:rFonts w:ascii="Arial" w:hAnsi="Arial" w:cs="Arial"/>
          <w:sz w:val="20"/>
          <w:szCs w:val="20"/>
        </w:rPr>
        <w:t>(</w:t>
      </w:r>
      <w:r w:rsidRPr="00977A20">
        <w:rPr>
          <w:rFonts w:ascii="Arial" w:hAnsi="Arial" w:cs="Arial"/>
          <w:i/>
          <w:iCs/>
          <w:sz w:val="20"/>
          <w:szCs w:val="20"/>
        </w:rPr>
        <w:t>Consider family ties, dependents, employment, continuing medical or mental health treatment, assets, housing, how long lived in the area)</w:t>
      </w:r>
    </w:p>
    <w:p w14:paraId="2FDBCBCE" w14:textId="77777777" w:rsidR="004C1E79" w:rsidRPr="00977A20" w:rsidRDefault="004C1E79" w:rsidP="00B92A4B">
      <w:pPr>
        <w:rPr>
          <w:rFonts w:ascii="Arial" w:hAnsi="Arial" w:cs="Arial"/>
          <w:sz w:val="20"/>
          <w:szCs w:val="20"/>
        </w:rPr>
      </w:pPr>
    </w:p>
    <w:p w14:paraId="1E267BCC" w14:textId="1509E79C" w:rsidR="004C1E79"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 xml:space="preserve">s18(1)(f) </w:t>
      </w:r>
      <w:r w:rsidR="00A46495">
        <w:rPr>
          <w:rFonts w:ascii="Arial" w:hAnsi="Arial" w:cs="Arial"/>
          <w:sz w:val="20"/>
          <w:szCs w:val="20"/>
        </w:rPr>
        <w:t>whether</w:t>
      </w:r>
      <w:r w:rsidRPr="00977A20">
        <w:rPr>
          <w:rFonts w:ascii="Arial" w:hAnsi="Arial" w:cs="Arial"/>
          <w:sz w:val="20"/>
          <w:szCs w:val="20"/>
        </w:rPr>
        <w:t xml:space="preserve"> the accused person has a history of compliance or non-compliance with bail acknowledgments, bail conditions, apprehended violence orders, parole orders or good behavior bonds </w:t>
      </w:r>
    </w:p>
    <w:p w14:paraId="144939A3" w14:textId="77777777" w:rsidR="005379F2" w:rsidRPr="00977A20" w:rsidRDefault="005379F2" w:rsidP="00B92A4B">
      <w:pPr>
        <w:pStyle w:val="ListParagraph"/>
        <w:ind w:left="567"/>
        <w:rPr>
          <w:rFonts w:ascii="Arial" w:hAnsi="Arial" w:cs="Arial"/>
          <w:sz w:val="20"/>
          <w:szCs w:val="20"/>
        </w:rPr>
      </w:pPr>
    </w:p>
    <w:p w14:paraId="45681268" w14:textId="77777777" w:rsidR="004C1E79" w:rsidRPr="00977A20" w:rsidRDefault="004C1E79" w:rsidP="00B92A4B">
      <w:pPr>
        <w:ind w:left="567"/>
        <w:rPr>
          <w:rFonts w:ascii="Arial" w:hAnsi="Arial" w:cs="Arial"/>
          <w:sz w:val="20"/>
          <w:szCs w:val="20"/>
        </w:rPr>
      </w:pPr>
      <w:r w:rsidRPr="00977A20">
        <w:rPr>
          <w:rFonts w:ascii="Arial" w:hAnsi="Arial" w:cs="Arial"/>
          <w:sz w:val="20"/>
          <w:szCs w:val="20"/>
        </w:rPr>
        <w:t>(</w:t>
      </w:r>
      <w:r w:rsidRPr="00977A20">
        <w:rPr>
          <w:rFonts w:ascii="Arial" w:hAnsi="Arial" w:cs="Arial"/>
          <w:i/>
          <w:iCs/>
          <w:sz w:val="20"/>
          <w:szCs w:val="20"/>
        </w:rPr>
        <w:t>look particularly for attendance at court on prior occasions, explain any non-attendance, if accused usually attends court less likely they will fail to appear in the future, also look for successful annulment applications</w:t>
      </w:r>
      <w:r w:rsidRPr="00977A20">
        <w:rPr>
          <w:rFonts w:ascii="Arial" w:hAnsi="Arial" w:cs="Arial"/>
          <w:sz w:val="20"/>
          <w:szCs w:val="20"/>
        </w:rPr>
        <w:t>)</w:t>
      </w:r>
    </w:p>
    <w:p w14:paraId="6F68F521" w14:textId="77777777" w:rsidR="004C1E79" w:rsidRPr="00977A20" w:rsidRDefault="004C1E79" w:rsidP="00B92A4B">
      <w:pPr>
        <w:rPr>
          <w:rFonts w:ascii="Arial" w:hAnsi="Arial" w:cs="Arial"/>
          <w:sz w:val="20"/>
          <w:szCs w:val="20"/>
        </w:rPr>
      </w:pPr>
    </w:p>
    <w:p w14:paraId="2890E33C" w14:textId="5834EC78" w:rsidR="004C1E79"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rPr>
        <w:t xml:space="preserve">s18(1)(c) the strength of the prosecution case </w:t>
      </w:r>
    </w:p>
    <w:p w14:paraId="016091A9" w14:textId="77777777" w:rsidR="005379F2" w:rsidRPr="00977A20" w:rsidRDefault="005379F2" w:rsidP="00B92A4B">
      <w:pPr>
        <w:pStyle w:val="ListParagraph"/>
        <w:ind w:left="567"/>
        <w:rPr>
          <w:rFonts w:ascii="Arial" w:hAnsi="Arial" w:cs="Arial"/>
          <w:sz w:val="20"/>
          <w:szCs w:val="20"/>
        </w:rPr>
      </w:pPr>
    </w:p>
    <w:p w14:paraId="596A2C2B" w14:textId="77777777" w:rsidR="004C1E79" w:rsidRPr="00977A20" w:rsidRDefault="004C1E79" w:rsidP="00B92A4B">
      <w:pPr>
        <w:pStyle w:val="ListParagraph"/>
        <w:ind w:left="567"/>
        <w:rPr>
          <w:rFonts w:ascii="Arial" w:hAnsi="Arial" w:cs="Arial"/>
          <w:sz w:val="20"/>
          <w:szCs w:val="20"/>
        </w:rPr>
      </w:pPr>
      <w:r w:rsidRPr="00977A20">
        <w:rPr>
          <w:rFonts w:ascii="Arial" w:hAnsi="Arial" w:cs="Arial"/>
          <w:sz w:val="20"/>
          <w:szCs w:val="20"/>
        </w:rPr>
        <w:t>(</w:t>
      </w:r>
      <w:r w:rsidRPr="00977A20">
        <w:rPr>
          <w:rFonts w:ascii="Arial" w:hAnsi="Arial" w:cs="Arial"/>
          <w:i/>
          <w:iCs/>
          <w:sz w:val="20"/>
          <w:szCs w:val="20"/>
        </w:rPr>
        <w:t>the weaker the case arguably more likely to attend court, consider also compliance with other court conditions bonds etc</w:t>
      </w:r>
      <w:r w:rsidRPr="00977A20">
        <w:rPr>
          <w:rFonts w:ascii="Arial" w:hAnsi="Arial" w:cs="Arial"/>
          <w:sz w:val="20"/>
          <w:szCs w:val="20"/>
        </w:rPr>
        <w:t>.)</w:t>
      </w:r>
    </w:p>
    <w:p w14:paraId="592D5060" w14:textId="77777777" w:rsidR="004C1E79" w:rsidRPr="00977A20" w:rsidRDefault="004C1E79" w:rsidP="00B92A4B">
      <w:pPr>
        <w:ind w:left="567" w:hanging="425"/>
        <w:rPr>
          <w:rFonts w:ascii="Arial" w:hAnsi="Arial" w:cs="Arial"/>
          <w:sz w:val="20"/>
          <w:szCs w:val="20"/>
        </w:rPr>
      </w:pPr>
    </w:p>
    <w:p w14:paraId="3A715C26" w14:textId="70C0C09B" w:rsidR="004C1E79"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s18(1)(</w:t>
      </w:r>
      <w:proofErr w:type="spellStart"/>
      <w:r w:rsidRPr="00977A20">
        <w:rPr>
          <w:rFonts w:ascii="Arial" w:hAnsi="Arial" w:cs="Arial"/>
          <w:sz w:val="20"/>
          <w:szCs w:val="20"/>
          <w:shd w:val="clear" w:color="auto" w:fill="FFFFFF"/>
        </w:rPr>
        <w:t>i</w:t>
      </w:r>
      <w:proofErr w:type="spellEnd"/>
      <w:r w:rsidRPr="00977A20">
        <w:rPr>
          <w:rFonts w:ascii="Arial" w:hAnsi="Arial" w:cs="Arial"/>
          <w:sz w:val="20"/>
          <w:szCs w:val="20"/>
          <w:shd w:val="clear" w:color="auto" w:fill="FFFFFF"/>
        </w:rPr>
        <w:t xml:space="preserve">) the likelihood of a custodial sentence being imposed if the </w:t>
      </w:r>
      <w:r w:rsidRPr="005379F2">
        <w:rPr>
          <w:rFonts w:ascii="Arial" w:hAnsi="Arial" w:cs="Arial"/>
          <w:sz w:val="20"/>
          <w:szCs w:val="20"/>
        </w:rPr>
        <w:t>accused person</w:t>
      </w:r>
      <w:r w:rsidRPr="00977A20">
        <w:rPr>
          <w:rFonts w:ascii="Arial" w:hAnsi="Arial" w:cs="Arial"/>
          <w:sz w:val="20"/>
          <w:szCs w:val="20"/>
          <w:shd w:val="clear" w:color="auto" w:fill="FFFFFF"/>
        </w:rPr>
        <w:t xml:space="preserve"> is convicted of the </w:t>
      </w:r>
      <w:r w:rsidRPr="005379F2">
        <w:rPr>
          <w:rFonts w:ascii="Arial" w:hAnsi="Arial" w:cs="Arial"/>
          <w:sz w:val="20"/>
          <w:szCs w:val="20"/>
        </w:rPr>
        <w:t>offence</w:t>
      </w:r>
      <w:r w:rsidRPr="00977A20">
        <w:rPr>
          <w:rFonts w:ascii="Arial" w:hAnsi="Arial" w:cs="Arial"/>
          <w:sz w:val="20"/>
          <w:szCs w:val="20"/>
        </w:rPr>
        <w:t xml:space="preserve"> </w:t>
      </w:r>
    </w:p>
    <w:p w14:paraId="2DA9EDB3" w14:textId="77777777" w:rsidR="005379F2" w:rsidRPr="00977A20" w:rsidRDefault="005379F2" w:rsidP="00B92A4B">
      <w:pPr>
        <w:pStyle w:val="ListParagraph"/>
        <w:ind w:left="567"/>
        <w:rPr>
          <w:rFonts w:ascii="Arial" w:hAnsi="Arial" w:cs="Arial"/>
          <w:sz w:val="20"/>
          <w:szCs w:val="20"/>
        </w:rPr>
      </w:pPr>
    </w:p>
    <w:p w14:paraId="29E8FF83" w14:textId="77777777" w:rsidR="004C1E79" w:rsidRPr="00977A20" w:rsidRDefault="004C1E79" w:rsidP="00B92A4B">
      <w:pPr>
        <w:ind w:left="567"/>
        <w:rPr>
          <w:rFonts w:ascii="Arial" w:hAnsi="Arial" w:cs="Arial"/>
          <w:sz w:val="20"/>
          <w:szCs w:val="20"/>
        </w:rPr>
      </w:pPr>
      <w:r w:rsidRPr="00977A20">
        <w:rPr>
          <w:rFonts w:ascii="Arial" w:hAnsi="Arial" w:cs="Arial"/>
          <w:sz w:val="20"/>
          <w:szCs w:val="20"/>
        </w:rPr>
        <w:t>(</w:t>
      </w:r>
      <w:r w:rsidRPr="00977A20">
        <w:rPr>
          <w:rFonts w:ascii="Arial" w:hAnsi="Arial" w:cs="Arial"/>
          <w:i/>
          <w:iCs/>
          <w:sz w:val="20"/>
          <w:szCs w:val="20"/>
        </w:rPr>
        <w:t>If not likely to receive full-time custodial sentence then more likely to attend court</w:t>
      </w:r>
      <w:r w:rsidRPr="00977A20">
        <w:rPr>
          <w:rFonts w:ascii="Arial" w:hAnsi="Arial" w:cs="Arial"/>
          <w:sz w:val="20"/>
          <w:szCs w:val="20"/>
        </w:rPr>
        <w:t>)</w:t>
      </w:r>
    </w:p>
    <w:p w14:paraId="6A9F1908" w14:textId="77777777" w:rsidR="004C1E79" w:rsidRPr="00977A20" w:rsidRDefault="004C1E79" w:rsidP="00B92A4B">
      <w:pPr>
        <w:rPr>
          <w:rFonts w:ascii="Arial" w:hAnsi="Arial" w:cs="Arial"/>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215FBA" w14:paraId="3F07C084" w14:textId="77777777" w:rsidTr="00215FBA">
        <w:trPr>
          <w:trHeight w:val="680"/>
        </w:trPr>
        <w:tc>
          <w:tcPr>
            <w:tcW w:w="9158" w:type="dxa"/>
            <w:shd w:val="clear" w:color="auto" w:fill="F2F2F2" w:themeFill="background1" w:themeFillShade="F2"/>
            <w:vAlign w:val="center"/>
          </w:tcPr>
          <w:p w14:paraId="2C39C358" w14:textId="4B41272C" w:rsidR="00215FBA" w:rsidRPr="00215FBA" w:rsidRDefault="00215FBA" w:rsidP="00215FBA">
            <w:pPr>
              <w:rPr>
                <w:rFonts w:ascii="Arial" w:hAnsi="Arial" w:cs="Arial"/>
                <w:b/>
                <w:bCs/>
                <w:iCs/>
                <w:sz w:val="20"/>
                <w:szCs w:val="20"/>
              </w:rPr>
            </w:pPr>
            <w:r w:rsidRPr="004C1E79">
              <w:rPr>
                <w:rFonts w:ascii="Arial" w:hAnsi="Arial" w:cs="Arial"/>
                <w:b/>
                <w:bCs/>
                <w:iCs/>
                <w:sz w:val="20"/>
                <w:szCs w:val="20"/>
              </w:rPr>
              <w:t>s18(1)(p) Suggested bail conditions which address concern that the accused person will fail to appear (see s20A for limits on imposing bail conditions)</w:t>
            </w:r>
          </w:p>
        </w:tc>
      </w:tr>
    </w:tbl>
    <w:p w14:paraId="0A42353A" w14:textId="77777777" w:rsidR="004C1E79" w:rsidRPr="00977A20" w:rsidRDefault="004C1E79" w:rsidP="00B92A4B">
      <w:pPr>
        <w:rPr>
          <w:rFonts w:ascii="Arial" w:hAnsi="Arial" w:cs="Arial"/>
          <w:iCs/>
          <w:sz w:val="20"/>
          <w:szCs w:val="20"/>
          <w:u w:val="single"/>
        </w:rPr>
      </w:pPr>
    </w:p>
    <w:p w14:paraId="2900B5CF" w14:textId="77777777" w:rsidR="004C1E79" w:rsidRDefault="004C1E79" w:rsidP="00B92A4B">
      <w:pPr>
        <w:pStyle w:val="Default"/>
        <w:numPr>
          <w:ilvl w:val="0"/>
          <w:numId w:val="5"/>
        </w:numPr>
        <w:ind w:left="567" w:hanging="425"/>
        <w:rPr>
          <w:rFonts w:ascii="Arial" w:hAnsi="Arial" w:cs="Arial"/>
          <w:b/>
          <w:color w:val="auto"/>
          <w:sz w:val="20"/>
          <w:szCs w:val="20"/>
        </w:rPr>
      </w:pPr>
      <w:r w:rsidRPr="00977A20">
        <w:rPr>
          <w:rFonts w:ascii="Arial" w:hAnsi="Arial" w:cs="Arial"/>
          <w:b/>
          <w:color w:val="auto"/>
          <w:sz w:val="20"/>
          <w:szCs w:val="20"/>
        </w:rPr>
        <w:t xml:space="preserve">Conduct </w:t>
      </w:r>
    </w:p>
    <w:p w14:paraId="1B4B8178" w14:textId="77777777" w:rsidR="004C1E79" w:rsidRPr="00977A20" w:rsidRDefault="004C1E79" w:rsidP="00B92A4B">
      <w:pPr>
        <w:pStyle w:val="Default"/>
        <w:rPr>
          <w:rFonts w:ascii="Arial" w:hAnsi="Arial" w:cs="Arial"/>
          <w:b/>
          <w:color w:val="auto"/>
          <w:sz w:val="20"/>
          <w:szCs w:val="20"/>
        </w:rPr>
      </w:pPr>
    </w:p>
    <w:p w14:paraId="3AB2A612" w14:textId="77777777" w:rsidR="004C1E79" w:rsidRPr="00977A20" w:rsidRDefault="004C1E79" w:rsidP="00B92A4B">
      <w:pPr>
        <w:pStyle w:val="Default"/>
        <w:numPr>
          <w:ilvl w:val="0"/>
          <w:numId w:val="9"/>
        </w:numPr>
        <w:spacing w:after="39"/>
        <w:ind w:left="1701" w:hanging="425"/>
        <w:rPr>
          <w:rFonts w:ascii="Arial" w:hAnsi="Arial" w:cs="Arial"/>
          <w:color w:val="auto"/>
          <w:sz w:val="20"/>
          <w:szCs w:val="20"/>
        </w:rPr>
      </w:pPr>
      <w:proofErr w:type="spellStart"/>
      <w:r w:rsidRPr="00977A20">
        <w:rPr>
          <w:rFonts w:ascii="Arial" w:hAnsi="Arial" w:cs="Arial"/>
          <w:color w:val="auto"/>
          <w:sz w:val="20"/>
          <w:szCs w:val="20"/>
        </w:rPr>
        <w:t>i</w:t>
      </w:r>
      <w:proofErr w:type="spellEnd"/>
      <w:r w:rsidRPr="00977A20">
        <w:rPr>
          <w:rFonts w:ascii="Arial" w:hAnsi="Arial" w:cs="Arial"/>
          <w:color w:val="auto"/>
          <w:sz w:val="20"/>
          <w:szCs w:val="20"/>
        </w:rPr>
        <w:t xml:space="preserve"> Reporting</w:t>
      </w:r>
    </w:p>
    <w:p w14:paraId="7299D355" w14:textId="77777777" w:rsidR="004C1E79" w:rsidRDefault="004C1E79" w:rsidP="00B92A4B">
      <w:pPr>
        <w:pStyle w:val="Default"/>
        <w:numPr>
          <w:ilvl w:val="0"/>
          <w:numId w:val="9"/>
        </w:numPr>
        <w:ind w:left="1701" w:hanging="425"/>
        <w:rPr>
          <w:rFonts w:ascii="Arial" w:hAnsi="Arial" w:cs="Arial"/>
          <w:color w:val="auto"/>
          <w:sz w:val="20"/>
          <w:szCs w:val="20"/>
        </w:rPr>
      </w:pPr>
      <w:r w:rsidRPr="00977A20">
        <w:rPr>
          <w:rFonts w:ascii="Arial" w:hAnsi="Arial" w:cs="Arial"/>
          <w:color w:val="auto"/>
          <w:sz w:val="20"/>
          <w:szCs w:val="20"/>
        </w:rPr>
        <w:t>Surrender passport/limit travel</w:t>
      </w:r>
    </w:p>
    <w:p w14:paraId="124D5912" w14:textId="77777777" w:rsidR="004C1E79" w:rsidRPr="00977A20" w:rsidRDefault="004C1E79" w:rsidP="00B92A4B">
      <w:pPr>
        <w:pStyle w:val="Default"/>
        <w:rPr>
          <w:rFonts w:ascii="Arial" w:hAnsi="Arial" w:cs="Arial"/>
          <w:color w:val="auto"/>
          <w:sz w:val="20"/>
          <w:szCs w:val="20"/>
        </w:rPr>
      </w:pPr>
    </w:p>
    <w:p w14:paraId="3C5EBE50" w14:textId="77777777" w:rsidR="004C1E79" w:rsidRDefault="004C1E79" w:rsidP="00B92A4B">
      <w:pPr>
        <w:pStyle w:val="Default"/>
        <w:numPr>
          <w:ilvl w:val="0"/>
          <w:numId w:val="5"/>
        </w:numPr>
        <w:ind w:left="567" w:hanging="425"/>
        <w:rPr>
          <w:rFonts w:ascii="Arial" w:hAnsi="Arial" w:cs="Arial"/>
          <w:b/>
          <w:color w:val="auto"/>
          <w:sz w:val="20"/>
          <w:szCs w:val="20"/>
        </w:rPr>
      </w:pPr>
      <w:r w:rsidRPr="00977A20">
        <w:rPr>
          <w:rFonts w:ascii="Arial" w:hAnsi="Arial" w:cs="Arial"/>
          <w:b/>
          <w:color w:val="auto"/>
          <w:sz w:val="20"/>
          <w:szCs w:val="20"/>
        </w:rPr>
        <w:t xml:space="preserve">Surety/character acknowledgement: </w:t>
      </w:r>
    </w:p>
    <w:p w14:paraId="19B7D470" w14:textId="77777777" w:rsidR="004C1E79" w:rsidRPr="00977A20" w:rsidRDefault="004C1E79" w:rsidP="00B92A4B">
      <w:pPr>
        <w:pStyle w:val="Default"/>
        <w:ind w:left="720"/>
        <w:rPr>
          <w:rFonts w:ascii="Arial" w:hAnsi="Arial" w:cs="Arial"/>
          <w:b/>
          <w:color w:val="auto"/>
          <w:sz w:val="20"/>
          <w:szCs w:val="20"/>
        </w:rPr>
      </w:pPr>
    </w:p>
    <w:p w14:paraId="3C5D8A34" w14:textId="77777777" w:rsidR="004C1E79" w:rsidRPr="00977A20" w:rsidRDefault="004C1E79" w:rsidP="00B92A4B">
      <w:pPr>
        <w:pStyle w:val="Default"/>
        <w:numPr>
          <w:ilvl w:val="0"/>
          <w:numId w:val="10"/>
        </w:numPr>
        <w:spacing w:after="39"/>
        <w:ind w:left="1701" w:hanging="425"/>
        <w:rPr>
          <w:rFonts w:ascii="Arial" w:hAnsi="Arial" w:cs="Arial"/>
          <w:color w:val="auto"/>
          <w:sz w:val="20"/>
          <w:szCs w:val="20"/>
        </w:rPr>
      </w:pPr>
      <w:r w:rsidRPr="00977A20">
        <w:rPr>
          <w:rFonts w:ascii="Arial" w:hAnsi="Arial" w:cs="Arial"/>
          <w:color w:val="auto"/>
          <w:sz w:val="20"/>
          <w:szCs w:val="20"/>
        </w:rPr>
        <w:t xml:space="preserve">Self-deposit or agree to forfeit </w:t>
      </w:r>
    </w:p>
    <w:p w14:paraId="6B8BCB99" w14:textId="77777777" w:rsidR="004C1E79" w:rsidRPr="00977A20" w:rsidRDefault="004C1E79" w:rsidP="00B92A4B">
      <w:pPr>
        <w:pStyle w:val="Default"/>
        <w:numPr>
          <w:ilvl w:val="0"/>
          <w:numId w:val="10"/>
        </w:numPr>
        <w:ind w:left="1701" w:hanging="425"/>
        <w:rPr>
          <w:rFonts w:ascii="Arial" w:hAnsi="Arial" w:cs="Arial"/>
          <w:color w:val="auto"/>
          <w:sz w:val="20"/>
          <w:szCs w:val="20"/>
        </w:rPr>
      </w:pPr>
      <w:r w:rsidRPr="00977A20">
        <w:rPr>
          <w:rFonts w:ascii="Arial" w:hAnsi="Arial" w:cs="Arial"/>
          <w:color w:val="auto"/>
          <w:sz w:val="20"/>
          <w:szCs w:val="20"/>
        </w:rPr>
        <w:t xml:space="preserve">Other deposit or agree to forfeit </w:t>
      </w:r>
    </w:p>
    <w:p w14:paraId="6D0E9D32" w14:textId="77777777" w:rsidR="004C1E79" w:rsidRDefault="004C1E79" w:rsidP="00B92A4B">
      <w:pPr>
        <w:pStyle w:val="Default"/>
        <w:numPr>
          <w:ilvl w:val="0"/>
          <w:numId w:val="10"/>
        </w:numPr>
        <w:ind w:left="1701" w:hanging="425"/>
        <w:rPr>
          <w:rFonts w:ascii="Arial" w:hAnsi="Arial" w:cs="Arial"/>
          <w:color w:val="auto"/>
          <w:sz w:val="20"/>
          <w:szCs w:val="20"/>
        </w:rPr>
      </w:pPr>
      <w:r w:rsidRPr="00977A20">
        <w:rPr>
          <w:rFonts w:ascii="Arial" w:hAnsi="Arial" w:cs="Arial"/>
          <w:color w:val="auto"/>
          <w:sz w:val="20"/>
          <w:szCs w:val="20"/>
        </w:rPr>
        <w:t xml:space="preserve">Character acknowledgement </w:t>
      </w:r>
    </w:p>
    <w:p w14:paraId="64B187AA" w14:textId="54C55FE4" w:rsidR="004C1E79" w:rsidRDefault="004C1E79" w:rsidP="00B92A4B">
      <w:pPr>
        <w:pStyle w:val="Default"/>
        <w:rPr>
          <w:rFonts w:ascii="Arial" w:hAnsi="Arial" w:cs="Arial"/>
          <w:color w:val="auto"/>
          <w:sz w:val="20"/>
          <w:szCs w:val="20"/>
        </w:rPr>
      </w:pPr>
    </w:p>
    <w:p w14:paraId="32FC8160" w14:textId="13E6EE8C" w:rsidR="0064404D" w:rsidRDefault="0064404D" w:rsidP="00B92A4B">
      <w:pPr>
        <w:pStyle w:val="Default"/>
        <w:rPr>
          <w:rFonts w:ascii="Arial" w:hAnsi="Arial" w:cs="Arial"/>
          <w:color w:val="auto"/>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215FBA" w14:paraId="65A626EC" w14:textId="77777777" w:rsidTr="00215FBA">
        <w:trPr>
          <w:trHeight w:val="907"/>
        </w:trPr>
        <w:tc>
          <w:tcPr>
            <w:tcW w:w="9158" w:type="dxa"/>
            <w:shd w:val="clear" w:color="auto" w:fill="F2F2F2" w:themeFill="background1" w:themeFillShade="F2"/>
            <w:vAlign w:val="center"/>
          </w:tcPr>
          <w:p w14:paraId="04344E22" w14:textId="01D10986" w:rsidR="00215FBA" w:rsidRPr="00215FBA" w:rsidRDefault="00215FBA" w:rsidP="00215FBA">
            <w:pPr>
              <w:pStyle w:val="Default"/>
              <w:rPr>
                <w:rFonts w:ascii="Arial" w:hAnsi="Arial" w:cs="Arial"/>
                <w:b/>
                <w:iCs/>
                <w:color w:val="auto"/>
                <w:sz w:val="20"/>
                <w:szCs w:val="20"/>
              </w:rPr>
            </w:pPr>
            <w:r w:rsidRPr="004C1E79">
              <w:rPr>
                <w:rFonts w:ascii="Arial" w:hAnsi="Arial" w:cs="Arial"/>
                <w:b/>
                <w:iCs/>
                <w:color w:val="auto"/>
                <w:sz w:val="20"/>
                <w:szCs w:val="20"/>
              </w:rPr>
              <w:t>Relevant matters in assessing the s17(2)(b)</w:t>
            </w:r>
            <w:r>
              <w:rPr>
                <w:rFonts w:ascii="Arial" w:hAnsi="Arial" w:cs="Arial"/>
                <w:b/>
                <w:iCs/>
                <w:color w:val="auto"/>
                <w:sz w:val="20"/>
                <w:szCs w:val="20"/>
              </w:rPr>
              <w:t xml:space="preserve"> </w:t>
            </w:r>
            <w:r w:rsidRPr="004C1E79">
              <w:rPr>
                <w:rFonts w:ascii="Arial" w:hAnsi="Arial" w:cs="Arial"/>
                <w:b/>
                <w:iCs/>
                <w:color w:val="auto"/>
                <w:sz w:val="20"/>
                <w:szCs w:val="20"/>
              </w:rPr>
              <w:t>&amp;</w:t>
            </w:r>
            <w:r>
              <w:rPr>
                <w:rFonts w:ascii="Arial" w:hAnsi="Arial" w:cs="Arial"/>
                <w:b/>
                <w:iCs/>
                <w:color w:val="auto"/>
                <w:sz w:val="20"/>
                <w:szCs w:val="20"/>
              </w:rPr>
              <w:t xml:space="preserve"> </w:t>
            </w:r>
            <w:r w:rsidRPr="004C1E79">
              <w:rPr>
                <w:rFonts w:ascii="Arial" w:hAnsi="Arial" w:cs="Arial"/>
                <w:b/>
                <w:iCs/>
                <w:color w:val="auto"/>
                <w:sz w:val="20"/>
                <w:szCs w:val="20"/>
              </w:rPr>
              <w:t>(c) concerns that the accused person will commit a serious offence, and/or that the accused person will endanger the safety of victims, individuals or the community</w:t>
            </w:r>
          </w:p>
        </w:tc>
      </w:tr>
    </w:tbl>
    <w:p w14:paraId="0466C31E" w14:textId="77777777" w:rsidR="004C1E79" w:rsidRPr="00977A20" w:rsidRDefault="004C1E79" w:rsidP="00B92A4B">
      <w:pPr>
        <w:pStyle w:val="Default"/>
        <w:rPr>
          <w:rFonts w:ascii="Arial" w:hAnsi="Arial" w:cs="Arial"/>
          <w:iCs/>
          <w:color w:val="auto"/>
          <w:sz w:val="20"/>
          <w:szCs w:val="20"/>
          <w:u w:val="single"/>
        </w:rPr>
      </w:pPr>
    </w:p>
    <w:p w14:paraId="7557FB23" w14:textId="77777777" w:rsidR="004C1E79" w:rsidRPr="00977A20" w:rsidRDefault="004C1E79" w:rsidP="00B92A4B">
      <w:pPr>
        <w:rPr>
          <w:rFonts w:ascii="Arial" w:hAnsi="Arial" w:cs="Arial"/>
          <w:sz w:val="20"/>
          <w:szCs w:val="20"/>
        </w:rPr>
      </w:pPr>
      <w:r w:rsidRPr="00977A20">
        <w:rPr>
          <w:rFonts w:ascii="Arial" w:hAnsi="Arial" w:cs="Arial"/>
          <w:sz w:val="20"/>
          <w:szCs w:val="20"/>
        </w:rPr>
        <w:t xml:space="preserve">(NB note that the Act specifies bail should only be refused where there is a risk the applicant will commit a </w:t>
      </w:r>
      <w:r w:rsidRPr="00977A20">
        <w:rPr>
          <w:rFonts w:ascii="Arial" w:hAnsi="Arial" w:cs="Arial"/>
          <w:sz w:val="20"/>
          <w:szCs w:val="20"/>
          <w:u w:val="single"/>
        </w:rPr>
        <w:t>‘serious</w:t>
      </w:r>
      <w:r w:rsidRPr="00977A20">
        <w:rPr>
          <w:rFonts w:ascii="Arial" w:hAnsi="Arial" w:cs="Arial"/>
          <w:b/>
          <w:bCs/>
          <w:sz w:val="20"/>
          <w:szCs w:val="20"/>
          <w:u w:val="single"/>
        </w:rPr>
        <w:t>’</w:t>
      </w:r>
      <w:r w:rsidRPr="00977A20">
        <w:rPr>
          <w:rFonts w:ascii="Arial" w:hAnsi="Arial" w:cs="Arial"/>
          <w:b/>
          <w:bCs/>
          <w:sz w:val="20"/>
          <w:szCs w:val="20"/>
        </w:rPr>
        <w:t xml:space="preserve"> </w:t>
      </w:r>
      <w:r w:rsidRPr="00977A20">
        <w:rPr>
          <w:rFonts w:ascii="Arial" w:hAnsi="Arial" w:cs="Arial"/>
          <w:sz w:val="20"/>
          <w:szCs w:val="20"/>
        </w:rPr>
        <w:t>offence)</w:t>
      </w:r>
    </w:p>
    <w:p w14:paraId="4B4A521E" w14:textId="77777777" w:rsidR="004C1E79" w:rsidRPr="00977A20" w:rsidRDefault="004C1E79" w:rsidP="00B92A4B">
      <w:pPr>
        <w:rPr>
          <w:rFonts w:ascii="Arial" w:hAnsi="Arial" w:cs="Arial"/>
          <w:sz w:val="20"/>
          <w:szCs w:val="20"/>
        </w:rPr>
      </w:pPr>
    </w:p>
    <w:p w14:paraId="7D3D3205" w14:textId="77777777" w:rsidR="004C1E79" w:rsidRPr="00977A20"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rPr>
        <w:t xml:space="preserve">s18(1)(f) the strength of the prosecution case </w:t>
      </w:r>
    </w:p>
    <w:p w14:paraId="4D069E7D" w14:textId="77777777" w:rsidR="0064404D" w:rsidRDefault="0064404D" w:rsidP="00B92A4B">
      <w:pPr>
        <w:ind w:left="567"/>
        <w:rPr>
          <w:rFonts w:ascii="Arial" w:hAnsi="Arial" w:cs="Arial"/>
          <w:i/>
          <w:iCs/>
          <w:sz w:val="20"/>
          <w:szCs w:val="20"/>
        </w:rPr>
      </w:pPr>
    </w:p>
    <w:p w14:paraId="2FB4E3F3" w14:textId="33D3523C" w:rsidR="004C1E79" w:rsidRPr="00977A20" w:rsidRDefault="004C1E79" w:rsidP="00B92A4B">
      <w:pPr>
        <w:ind w:left="567"/>
        <w:rPr>
          <w:rFonts w:ascii="Arial" w:hAnsi="Arial" w:cs="Arial"/>
          <w:i/>
          <w:iCs/>
          <w:sz w:val="20"/>
          <w:szCs w:val="20"/>
        </w:rPr>
      </w:pPr>
      <w:r w:rsidRPr="00977A20">
        <w:rPr>
          <w:rFonts w:ascii="Arial" w:hAnsi="Arial" w:cs="Arial"/>
          <w:i/>
          <w:iCs/>
          <w:sz w:val="20"/>
          <w:szCs w:val="20"/>
        </w:rPr>
        <w:t>(The weaker the case the less likely they committed this offence therefore less likely to commit a further offence)</w:t>
      </w:r>
    </w:p>
    <w:p w14:paraId="0B10290F" w14:textId="77777777" w:rsidR="004C1E79" w:rsidRPr="00977A20" w:rsidRDefault="004C1E79" w:rsidP="00B92A4B">
      <w:pPr>
        <w:rPr>
          <w:rFonts w:ascii="Arial" w:hAnsi="Arial" w:cs="Arial"/>
          <w:sz w:val="20"/>
          <w:szCs w:val="20"/>
        </w:rPr>
      </w:pPr>
    </w:p>
    <w:p w14:paraId="0603DB4D" w14:textId="33FF8D4B" w:rsidR="004C1E79" w:rsidRPr="005379F2"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lastRenderedPageBreak/>
        <w:t>s18(1)(b) the nature and seriousness of the </w:t>
      </w:r>
      <w:r w:rsidRPr="005379F2">
        <w:rPr>
          <w:rFonts w:ascii="Arial" w:hAnsi="Arial" w:cs="Arial"/>
          <w:sz w:val="20"/>
          <w:szCs w:val="20"/>
          <w:shd w:val="clear" w:color="auto" w:fill="FFFFFF"/>
        </w:rPr>
        <w:t>offence</w:t>
      </w:r>
    </w:p>
    <w:p w14:paraId="6DDC36E8" w14:textId="77777777" w:rsidR="005379F2" w:rsidRPr="00977A20" w:rsidRDefault="005379F2" w:rsidP="00B92A4B">
      <w:pPr>
        <w:pStyle w:val="ListParagraph"/>
        <w:ind w:left="567" w:hanging="425"/>
        <w:rPr>
          <w:rFonts w:ascii="Arial" w:hAnsi="Arial" w:cs="Arial"/>
          <w:sz w:val="20"/>
          <w:szCs w:val="20"/>
        </w:rPr>
      </w:pPr>
    </w:p>
    <w:p w14:paraId="5D00CAF3" w14:textId="3433591E"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(In assessing the seriousness consider the below pursuant to s18(2))</w:t>
      </w:r>
    </w:p>
    <w:p w14:paraId="30EEB109" w14:textId="77777777" w:rsidR="005379F2" w:rsidRPr="00977A20" w:rsidRDefault="005379F2" w:rsidP="00B92A4B">
      <w:pPr>
        <w:ind w:left="992" w:hanging="425"/>
        <w:rPr>
          <w:rFonts w:ascii="Arial" w:hAnsi="Arial" w:cs="Arial"/>
          <w:sz w:val="20"/>
          <w:szCs w:val="20"/>
        </w:rPr>
      </w:pPr>
    </w:p>
    <w:p w14:paraId="0276AC0A" w14:textId="77777777"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Sexual nature?</w:t>
      </w:r>
    </w:p>
    <w:p w14:paraId="1DB2B45B" w14:textId="77777777" w:rsidR="004C1E79" w:rsidRPr="005379F2" w:rsidRDefault="004C1E79" w:rsidP="00B92A4B">
      <w:pPr>
        <w:ind w:left="992" w:hanging="425"/>
        <w:rPr>
          <w:rFonts w:ascii="Arial" w:hAnsi="Arial" w:cs="Arial"/>
          <w:i/>
          <w:iCs/>
          <w:sz w:val="20"/>
          <w:szCs w:val="20"/>
        </w:rPr>
      </w:pPr>
    </w:p>
    <w:p w14:paraId="6BBDCDCA" w14:textId="77777777"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Violent nature?</w:t>
      </w:r>
    </w:p>
    <w:p w14:paraId="6B8CC135" w14:textId="77777777" w:rsidR="004C1E79" w:rsidRPr="005379F2" w:rsidRDefault="004C1E79" w:rsidP="00B92A4B">
      <w:pPr>
        <w:ind w:left="992" w:hanging="425"/>
        <w:rPr>
          <w:rFonts w:ascii="Arial" w:hAnsi="Arial" w:cs="Arial"/>
          <w:i/>
          <w:iCs/>
          <w:sz w:val="20"/>
          <w:szCs w:val="20"/>
        </w:rPr>
      </w:pPr>
    </w:p>
    <w:p w14:paraId="11DCEDCA" w14:textId="77777777"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Does it involve the use of an offensive weapon or instrument?</w:t>
      </w:r>
    </w:p>
    <w:p w14:paraId="639B28A3" w14:textId="77777777" w:rsidR="004C1E79" w:rsidRPr="005379F2" w:rsidRDefault="004C1E79" w:rsidP="00B92A4B">
      <w:pPr>
        <w:ind w:left="992" w:hanging="425"/>
        <w:rPr>
          <w:rFonts w:ascii="Arial" w:hAnsi="Arial" w:cs="Arial"/>
          <w:i/>
          <w:iCs/>
          <w:sz w:val="20"/>
          <w:szCs w:val="20"/>
        </w:rPr>
      </w:pPr>
    </w:p>
    <w:p w14:paraId="5272CF47" w14:textId="77777777"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Likely effect of the offence on any victim and on the community generally</w:t>
      </w:r>
    </w:p>
    <w:p w14:paraId="1986BD5F" w14:textId="77777777" w:rsidR="004C1E79" w:rsidRPr="005379F2" w:rsidRDefault="004C1E79" w:rsidP="00B92A4B">
      <w:pPr>
        <w:ind w:left="992" w:hanging="425"/>
        <w:rPr>
          <w:rFonts w:ascii="Arial" w:hAnsi="Arial" w:cs="Arial"/>
          <w:i/>
          <w:iCs/>
          <w:sz w:val="20"/>
          <w:szCs w:val="20"/>
        </w:rPr>
      </w:pPr>
    </w:p>
    <w:p w14:paraId="611BB289" w14:textId="77777777" w:rsidR="004C1E79" w:rsidRPr="005379F2" w:rsidRDefault="004C1E79" w:rsidP="00B92A4B">
      <w:pPr>
        <w:ind w:left="992" w:hanging="425"/>
        <w:rPr>
          <w:rFonts w:ascii="Arial" w:hAnsi="Arial" w:cs="Arial"/>
          <w:i/>
          <w:iCs/>
          <w:sz w:val="20"/>
          <w:szCs w:val="20"/>
        </w:rPr>
      </w:pPr>
      <w:r w:rsidRPr="005379F2">
        <w:rPr>
          <w:rFonts w:ascii="Arial" w:hAnsi="Arial" w:cs="Arial"/>
          <w:i/>
          <w:iCs/>
          <w:sz w:val="20"/>
          <w:szCs w:val="20"/>
        </w:rPr>
        <w:t>Number of offences likely to be committed or for which the person has been granted bail or released on parole</w:t>
      </w:r>
    </w:p>
    <w:p w14:paraId="7E9D277A" w14:textId="77777777" w:rsidR="004C1E79" w:rsidRPr="00977A20" w:rsidRDefault="004C1E79" w:rsidP="00B92A4B">
      <w:pPr>
        <w:ind w:left="567" w:hanging="425"/>
        <w:rPr>
          <w:rFonts w:ascii="Arial" w:hAnsi="Arial" w:cs="Arial"/>
          <w:sz w:val="20"/>
          <w:szCs w:val="20"/>
        </w:rPr>
      </w:pPr>
    </w:p>
    <w:p w14:paraId="6E00813B" w14:textId="77777777" w:rsidR="004C1E79" w:rsidRPr="00977A20" w:rsidRDefault="004C1E79" w:rsidP="00B92A4B">
      <w:pPr>
        <w:ind w:left="567" w:hanging="425"/>
        <w:rPr>
          <w:rFonts w:ascii="Arial" w:hAnsi="Arial" w:cs="Arial"/>
          <w:sz w:val="20"/>
          <w:szCs w:val="20"/>
        </w:rPr>
      </w:pPr>
    </w:p>
    <w:p w14:paraId="246AB5D6" w14:textId="22FC63AC" w:rsidR="004C1E79" w:rsidRPr="00977A20"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s18(1)(d) whether the </w:t>
      </w:r>
      <w:r w:rsidRPr="005379F2">
        <w:rPr>
          <w:rFonts w:ascii="Arial" w:hAnsi="Arial" w:cs="Arial"/>
          <w:sz w:val="20"/>
          <w:szCs w:val="20"/>
          <w:shd w:val="clear" w:color="auto" w:fill="FFFFFF"/>
        </w:rPr>
        <w:t>accused person</w:t>
      </w:r>
      <w:r w:rsidRPr="00977A20">
        <w:rPr>
          <w:rFonts w:ascii="Arial" w:hAnsi="Arial" w:cs="Arial"/>
          <w:sz w:val="20"/>
          <w:szCs w:val="20"/>
          <w:shd w:val="clear" w:color="auto" w:fill="FFFFFF"/>
        </w:rPr>
        <w:t> has a history of violence</w:t>
      </w:r>
    </w:p>
    <w:p w14:paraId="2CCEA0E5" w14:textId="77777777" w:rsidR="004C1E79" w:rsidRPr="00977A20" w:rsidRDefault="004C1E79" w:rsidP="00B92A4B">
      <w:pPr>
        <w:ind w:left="567" w:hanging="425"/>
        <w:rPr>
          <w:rFonts w:ascii="Arial" w:hAnsi="Arial" w:cs="Arial"/>
          <w:sz w:val="20"/>
          <w:szCs w:val="20"/>
        </w:rPr>
      </w:pPr>
    </w:p>
    <w:p w14:paraId="0DFF35FB" w14:textId="77777777" w:rsidR="004C1E79" w:rsidRPr="00977A20" w:rsidRDefault="004C1E79" w:rsidP="00B92A4B">
      <w:pPr>
        <w:ind w:left="567" w:hanging="425"/>
        <w:rPr>
          <w:rFonts w:ascii="Arial" w:hAnsi="Arial" w:cs="Arial"/>
          <w:sz w:val="20"/>
          <w:szCs w:val="20"/>
        </w:rPr>
      </w:pPr>
    </w:p>
    <w:p w14:paraId="12C687EC" w14:textId="1AAB7902" w:rsidR="004C1E79" w:rsidRPr="005379F2"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s18(1)(e) whether the </w:t>
      </w:r>
      <w:r w:rsidRPr="005379F2">
        <w:rPr>
          <w:rFonts w:ascii="Arial" w:hAnsi="Arial" w:cs="Arial"/>
          <w:sz w:val="20"/>
          <w:szCs w:val="20"/>
          <w:shd w:val="clear" w:color="auto" w:fill="FFFFFF"/>
        </w:rPr>
        <w:t>accused person</w:t>
      </w:r>
      <w:r w:rsidRPr="00977A20">
        <w:rPr>
          <w:rFonts w:ascii="Arial" w:hAnsi="Arial" w:cs="Arial"/>
          <w:sz w:val="20"/>
          <w:szCs w:val="20"/>
          <w:shd w:val="clear" w:color="auto" w:fill="FFFFFF"/>
        </w:rPr>
        <w:t> has previously committed a serious </w:t>
      </w:r>
      <w:r w:rsidRPr="005379F2">
        <w:rPr>
          <w:rFonts w:ascii="Arial" w:hAnsi="Arial" w:cs="Arial"/>
          <w:sz w:val="20"/>
          <w:szCs w:val="20"/>
          <w:shd w:val="clear" w:color="auto" w:fill="FFFFFF"/>
        </w:rPr>
        <w:t>offence</w:t>
      </w:r>
      <w:r w:rsidRPr="00977A20">
        <w:rPr>
          <w:rFonts w:ascii="Arial" w:hAnsi="Arial" w:cs="Arial"/>
          <w:sz w:val="20"/>
          <w:szCs w:val="20"/>
          <w:shd w:val="clear" w:color="auto" w:fill="FFFFFF"/>
        </w:rPr>
        <w:t> while on </w:t>
      </w:r>
      <w:r w:rsidRPr="005379F2">
        <w:rPr>
          <w:rFonts w:ascii="Arial" w:hAnsi="Arial" w:cs="Arial"/>
          <w:sz w:val="20"/>
          <w:szCs w:val="20"/>
          <w:shd w:val="clear" w:color="auto" w:fill="FFFFFF"/>
        </w:rPr>
        <w:t>bail</w:t>
      </w:r>
      <w:r w:rsidRPr="00977A20">
        <w:rPr>
          <w:rFonts w:ascii="Arial" w:hAnsi="Arial" w:cs="Arial"/>
          <w:sz w:val="20"/>
          <w:szCs w:val="20"/>
          <w:shd w:val="clear" w:color="auto" w:fill="FFFFFF"/>
        </w:rPr>
        <w:t> </w:t>
      </w:r>
    </w:p>
    <w:p w14:paraId="3F4E1400" w14:textId="77777777" w:rsidR="005379F2" w:rsidRPr="00977A20" w:rsidRDefault="005379F2" w:rsidP="00B92A4B">
      <w:pPr>
        <w:pStyle w:val="ListParagraph"/>
        <w:ind w:left="567"/>
        <w:rPr>
          <w:rFonts w:ascii="Arial" w:hAnsi="Arial" w:cs="Arial"/>
          <w:sz w:val="20"/>
          <w:szCs w:val="20"/>
        </w:rPr>
      </w:pPr>
    </w:p>
    <w:p w14:paraId="655922E0" w14:textId="77777777" w:rsidR="004C1E79" w:rsidRPr="005379F2" w:rsidRDefault="004C1E79" w:rsidP="00B92A4B">
      <w:pPr>
        <w:pStyle w:val="ListParagraph"/>
        <w:ind w:left="567"/>
        <w:rPr>
          <w:rFonts w:ascii="Arial" w:hAnsi="Arial" w:cs="Arial"/>
          <w:i/>
          <w:iCs/>
          <w:sz w:val="20"/>
          <w:szCs w:val="20"/>
        </w:rPr>
      </w:pPr>
      <w:r w:rsidRPr="005379F2">
        <w:rPr>
          <w:rFonts w:ascii="Arial" w:hAnsi="Arial" w:cs="Arial"/>
          <w:i/>
          <w:iCs/>
          <w:sz w:val="20"/>
          <w:szCs w:val="20"/>
          <w:shd w:val="clear" w:color="auto" w:fill="FFFFFF"/>
        </w:rPr>
        <w:t>(NB this includes interstate or overseas)</w:t>
      </w:r>
    </w:p>
    <w:p w14:paraId="279BE9C8" w14:textId="77777777" w:rsidR="004C1E79" w:rsidRPr="00977A20" w:rsidRDefault="004C1E79" w:rsidP="00B92A4B">
      <w:pPr>
        <w:ind w:left="567" w:hanging="425"/>
        <w:rPr>
          <w:rFonts w:ascii="Arial" w:hAnsi="Arial" w:cs="Arial"/>
          <w:sz w:val="20"/>
          <w:szCs w:val="20"/>
        </w:rPr>
      </w:pPr>
    </w:p>
    <w:p w14:paraId="2364618B" w14:textId="77777777" w:rsidR="004C1E79" w:rsidRPr="00977A20" w:rsidRDefault="004C1E79" w:rsidP="00B92A4B">
      <w:pPr>
        <w:ind w:left="567" w:hanging="425"/>
        <w:rPr>
          <w:rFonts w:ascii="Arial" w:hAnsi="Arial" w:cs="Arial"/>
          <w:sz w:val="20"/>
          <w:szCs w:val="20"/>
        </w:rPr>
      </w:pPr>
    </w:p>
    <w:p w14:paraId="5CFEDAB3" w14:textId="77777777" w:rsidR="004C1E79" w:rsidRPr="00977A20"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 xml:space="preserve">s18(1)(g) </w:t>
      </w:r>
      <w:r w:rsidRPr="00977A20">
        <w:rPr>
          <w:rFonts w:ascii="Arial" w:hAnsi="Arial" w:cs="Arial"/>
          <w:sz w:val="20"/>
          <w:szCs w:val="20"/>
        </w:rPr>
        <w:t>Whether the accused person has any criminal associations</w:t>
      </w:r>
    </w:p>
    <w:p w14:paraId="3818F0A0" w14:textId="77777777" w:rsidR="004C1E79" w:rsidRPr="00977A20" w:rsidRDefault="004C1E79" w:rsidP="00B92A4B">
      <w:pPr>
        <w:ind w:left="567" w:hanging="425"/>
        <w:rPr>
          <w:rFonts w:ascii="Arial" w:hAnsi="Arial" w:cs="Arial"/>
          <w:sz w:val="20"/>
          <w:szCs w:val="20"/>
        </w:rPr>
      </w:pPr>
    </w:p>
    <w:p w14:paraId="2FD3FDAC" w14:textId="77777777" w:rsidR="004C1E79" w:rsidRPr="00977A20" w:rsidRDefault="004C1E79" w:rsidP="00B92A4B">
      <w:pPr>
        <w:ind w:left="567" w:hanging="425"/>
        <w:rPr>
          <w:rFonts w:ascii="Arial" w:hAnsi="Arial" w:cs="Arial"/>
          <w:sz w:val="20"/>
          <w:szCs w:val="20"/>
        </w:rPr>
      </w:pPr>
    </w:p>
    <w:p w14:paraId="72B77743" w14:textId="316213EA" w:rsidR="004C1E79" w:rsidRDefault="004C1E79" w:rsidP="00B92A4B">
      <w:pPr>
        <w:pStyle w:val="ListParagraph"/>
        <w:numPr>
          <w:ilvl w:val="0"/>
          <w:numId w:val="3"/>
        </w:numPr>
        <w:ind w:left="567" w:hanging="425"/>
        <w:rPr>
          <w:rFonts w:ascii="Arial" w:hAnsi="Arial" w:cs="Arial"/>
          <w:sz w:val="20"/>
          <w:szCs w:val="20"/>
        </w:rPr>
      </w:pPr>
      <w:r w:rsidRPr="00977A20">
        <w:rPr>
          <w:rFonts w:ascii="Arial" w:hAnsi="Arial" w:cs="Arial"/>
          <w:sz w:val="20"/>
          <w:szCs w:val="20"/>
          <w:shd w:val="clear" w:color="auto" w:fill="FFFFFF"/>
        </w:rPr>
        <w:t xml:space="preserve">s18(1)(n) </w:t>
      </w:r>
      <w:r w:rsidRPr="00977A20">
        <w:rPr>
          <w:rFonts w:ascii="Arial" w:hAnsi="Arial" w:cs="Arial"/>
          <w:sz w:val="20"/>
          <w:szCs w:val="20"/>
        </w:rPr>
        <w:t xml:space="preserve">The conduct of the accused person towards any victim of the offence, or any family member of a victim, after the offence </w:t>
      </w:r>
    </w:p>
    <w:p w14:paraId="1AA2B3F4" w14:textId="77777777" w:rsidR="005379F2" w:rsidRPr="00977A20" w:rsidRDefault="005379F2" w:rsidP="00B92A4B">
      <w:pPr>
        <w:pStyle w:val="ListParagraph"/>
        <w:ind w:left="567"/>
        <w:rPr>
          <w:rFonts w:ascii="Arial" w:hAnsi="Arial" w:cs="Arial"/>
          <w:sz w:val="20"/>
          <w:szCs w:val="20"/>
        </w:rPr>
      </w:pPr>
    </w:p>
    <w:p w14:paraId="036745FF" w14:textId="77777777" w:rsidR="004C1E79" w:rsidRPr="005379F2" w:rsidRDefault="004C1E79" w:rsidP="00B92A4B">
      <w:pPr>
        <w:pStyle w:val="ListParagraph"/>
        <w:ind w:left="567"/>
        <w:rPr>
          <w:rFonts w:ascii="Arial" w:hAnsi="Arial" w:cs="Arial"/>
          <w:i/>
          <w:iCs/>
          <w:sz w:val="20"/>
          <w:szCs w:val="20"/>
        </w:rPr>
      </w:pPr>
      <w:r w:rsidRPr="005379F2">
        <w:rPr>
          <w:rFonts w:ascii="Arial" w:hAnsi="Arial" w:cs="Arial"/>
          <w:i/>
          <w:iCs/>
          <w:sz w:val="20"/>
          <w:szCs w:val="20"/>
        </w:rPr>
        <w:t xml:space="preserve">(NB also consider prior breaches of AVO’s) </w:t>
      </w:r>
    </w:p>
    <w:p w14:paraId="2BF4F678" w14:textId="77777777" w:rsidR="004C1E79" w:rsidRPr="00977A20" w:rsidRDefault="004C1E79" w:rsidP="00B92A4B">
      <w:pPr>
        <w:ind w:left="567" w:hanging="425"/>
        <w:rPr>
          <w:rFonts w:ascii="Arial" w:hAnsi="Arial" w:cs="Arial"/>
          <w:sz w:val="20"/>
          <w:szCs w:val="20"/>
        </w:rPr>
      </w:pPr>
    </w:p>
    <w:p w14:paraId="6FA02139" w14:textId="77777777" w:rsidR="004C1E79" w:rsidRPr="00977A20" w:rsidRDefault="004C1E79" w:rsidP="00B92A4B">
      <w:pPr>
        <w:ind w:left="567" w:hanging="425"/>
        <w:rPr>
          <w:rFonts w:ascii="Arial" w:hAnsi="Arial" w:cs="Arial"/>
          <w:sz w:val="20"/>
          <w:szCs w:val="20"/>
          <w:shd w:val="clear" w:color="auto" w:fill="FFFFFF"/>
        </w:rPr>
      </w:pPr>
    </w:p>
    <w:p w14:paraId="6D277A6B" w14:textId="6B10C6EA" w:rsidR="004C1E79" w:rsidRDefault="004C1E79" w:rsidP="00B92A4B">
      <w:pPr>
        <w:pStyle w:val="ListParagraph"/>
        <w:numPr>
          <w:ilvl w:val="0"/>
          <w:numId w:val="3"/>
        </w:numPr>
        <w:ind w:left="567" w:hanging="425"/>
        <w:rPr>
          <w:rFonts w:ascii="Arial" w:hAnsi="Arial" w:cs="Arial"/>
          <w:sz w:val="20"/>
          <w:szCs w:val="20"/>
          <w:shd w:val="clear" w:color="auto" w:fill="FFFFFF"/>
        </w:rPr>
      </w:pPr>
      <w:r w:rsidRPr="00977A20">
        <w:rPr>
          <w:rFonts w:ascii="Arial" w:hAnsi="Arial" w:cs="Arial"/>
          <w:sz w:val="20"/>
          <w:szCs w:val="20"/>
          <w:shd w:val="clear" w:color="auto" w:fill="FFFFFF"/>
        </w:rPr>
        <w:t>s18(1)(o) in the case of a serious </w:t>
      </w:r>
      <w:r w:rsidRPr="005379F2">
        <w:rPr>
          <w:rFonts w:ascii="Arial" w:hAnsi="Arial" w:cs="Arial"/>
          <w:sz w:val="20"/>
          <w:szCs w:val="20"/>
          <w:shd w:val="clear" w:color="auto" w:fill="FFFFFF"/>
        </w:rPr>
        <w:t>offence</w:t>
      </w:r>
      <w:r w:rsidRPr="00977A20">
        <w:rPr>
          <w:rFonts w:ascii="Arial" w:hAnsi="Arial" w:cs="Arial"/>
          <w:sz w:val="20"/>
          <w:szCs w:val="20"/>
          <w:shd w:val="clear" w:color="auto" w:fill="FFFFFF"/>
        </w:rPr>
        <w:t>, the views of any </w:t>
      </w:r>
      <w:r w:rsidRPr="005379F2">
        <w:rPr>
          <w:rFonts w:ascii="Arial" w:hAnsi="Arial" w:cs="Arial"/>
          <w:sz w:val="20"/>
          <w:szCs w:val="20"/>
          <w:shd w:val="clear" w:color="auto" w:fill="FFFFFF"/>
        </w:rPr>
        <w:t>victim</w:t>
      </w:r>
      <w:r w:rsidRPr="00977A20">
        <w:rPr>
          <w:rFonts w:ascii="Arial" w:hAnsi="Arial" w:cs="Arial"/>
          <w:sz w:val="20"/>
          <w:szCs w:val="20"/>
          <w:shd w:val="clear" w:color="auto" w:fill="FFFFFF"/>
        </w:rPr>
        <w:t> of the </w:t>
      </w:r>
      <w:r w:rsidRPr="005379F2">
        <w:rPr>
          <w:rFonts w:ascii="Arial" w:hAnsi="Arial" w:cs="Arial"/>
          <w:sz w:val="20"/>
          <w:szCs w:val="20"/>
          <w:shd w:val="clear" w:color="auto" w:fill="FFFFFF"/>
        </w:rPr>
        <w:t>offence</w:t>
      </w:r>
      <w:r w:rsidRPr="00977A20">
        <w:rPr>
          <w:rFonts w:ascii="Arial" w:hAnsi="Arial" w:cs="Arial"/>
          <w:sz w:val="20"/>
          <w:szCs w:val="20"/>
          <w:shd w:val="clear" w:color="auto" w:fill="FFFFFF"/>
        </w:rPr>
        <w:t> or any family member of a </w:t>
      </w:r>
      <w:r w:rsidRPr="005379F2">
        <w:rPr>
          <w:rFonts w:ascii="Arial" w:hAnsi="Arial" w:cs="Arial"/>
          <w:sz w:val="20"/>
          <w:szCs w:val="20"/>
          <w:shd w:val="clear" w:color="auto" w:fill="FFFFFF"/>
        </w:rPr>
        <w:t>victim</w:t>
      </w:r>
      <w:r w:rsidRPr="00977A20">
        <w:rPr>
          <w:rFonts w:ascii="Arial" w:hAnsi="Arial" w:cs="Arial"/>
          <w:sz w:val="20"/>
          <w:szCs w:val="20"/>
          <w:shd w:val="clear" w:color="auto" w:fill="FFFFFF"/>
        </w:rPr>
        <w:t> (if available to the </w:t>
      </w:r>
      <w:r w:rsidRPr="005379F2">
        <w:rPr>
          <w:rFonts w:ascii="Arial" w:hAnsi="Arial" w:cs="Arial"/>
          <w:sz w:val="20"/>
          <w:szCs w:val="20"/>
          <w:shd w:val="clear" w:color="auto" w:fill="FFFFFF"/>
        </w:rPr>
        <w:t>bail authority</w:t>
      </w:r>
      <w:r w:rsidRPr="00977A20">
        <w:rPr>
          <w:rFonts w:ascii="Arial" w:hAnsi="Arial" w:cs="Arial"/>
          <w:sz w:val="20"/>
          <w:szCs w:val="20"/>
          <w:shd w:val="clear" w:color="auto" w:fill="FFFFFF"/>
        </w:rPr>
        <w:t>), to the extent relevant to a concern that the </w:t>
      </w:r>
      <w:r w:rsidRPr="005379F2">
        <w:rPr>
          <w:rFonts w:ascii="Arial" w:hAnsi="Arial" w:cs="Arial"/>
          <w:sz w:val="20"/>
          <w:szCs w:val="20"/>
          <w:shd w:val="clear" w:color="auto" w:fill="FFFFFF"/>
        </w:rPr>
        <w:t>accused person</w:t>
      </w:r>
      <w:r w:rsidRPr="00977A20">
        <w:rPr>
          <w:rFonts w:ascii="Arial" w:hAnsi="Arial" w:cs="Arial"/>
          <w:sz w:val="20"/>
          <w:szCs w:val="20"/>
          <w:shd w:val="clear" w:color="auto" w:fill="FFFFFF"/>
        </w:rPr>
        <w:t> could, if released from custody, endanger the safety of </w:t>
      </w:r>
      <w:r w:rsidRPr="005379F2">
        <w:rPr>
          <w:rFonts w:ascii="Arial" w:hAnsi="Arial" w:cs="Arial"/>
          <w:sz w:val="20"/>
          <w:szCs w:val="20"/>
          <w:shd w:val="clear" w:color="auto" w:fill="FFFFFF"/>
        </w:rPr>
        <w:t>victims</w:t>
      </w:r>
      <w:r w:rsidRPr="00977A20">
        <w:rPr>
          <w:rFonts w:ascii="Arial" w:hAnsi="Arial" w:cs="Arial"/>
          <w:sz w:val="20"/>
          <w:szCs w:val="20"/>
          <w:shd w:val="clear" w:color="auto" w:fill="FFFFFF"/>
        </w:rPr>
        <w:t xml:space="preserve">, individuals or the community </w:t>
      </w:r>
    </w:p>
    <w:p w14:paraId="7DABE582" w14:textId="77777777" w:rsidR="005379F2" w:rsidRPr="00977A20" w:rsidRDefault="005379F2" w:rsidP="00B92A4B">
      <w:pPr>
        <w:pStyle w:val="ListParagraph"/>
        <w:ind w:left="567"/>
        <w:rPr>
          <w:rFonts w:ascii="Arial" w:hAnsi="Arial" w:cs="Arial"/>
          <w:sz w:val="20"/>
          <w:szCs w:val="20"/>
          <w:shd w:val="clear" w:color="auto" w:fill="FFFFFF"/>
        </w:rPr>
      </w:pPr>
    </w:p>
    <w:p w14:paraId="1E905EAC" w14:textId="77777777" w:rsidR="004C1E79" w:rsidRPr="005379F2" w:rsidRDefault="004C1E79" w:rsidP="00B92A4B">
      <w:pPr>
        <w:ind w:left="567"/>
        <w:rPr>
          <w:rFonts w:ascii="Arial" w:hAnsi="Arial" w:cs="Arial"/>
          <w:i/>
          <w:iCs/>
          <w:sz w:val="20"/>
          <w:szCs w:val="20"/>
        </w:rPr>
      </w:pPr>
      <w:r w:rsidRPr="005379F2">
        <w:rPr>
          <w:rFonts w:ascii="Arial" w:hAnsi="Arial" w:cs="Arial"/>
          <w:i/>
          <w:iCs/>
          <w:sz w:val="20"/>
          <w:szCs w:val="20"/>
          <w:shd w:val="clear" w:color="auto" w:fill="FFFFFF"/>
        </w:rPr>
        <w:t xml:space="preserve">(NB this does not include the opinions of police see </w:t>
      </w:r>
      <w:r w:rsidRPr="005379F2">
        <w:rPr>
          <w:rFonts w:ascii="Arial" w:hAnsi="Arial" w:cs="Arial"/>
          <w:i/>
          <w:iCs/>
          <w:sz w:val="20"/>
          <w:szCs w:val="20"/>
        </w:rPr>
        <w:t xml:space="preserve">Director of Public Prosecutions (NSW) v </w:t>
      </w:r>
      <w:proofErr w:type="spellStart"/>
      <w:r w:rsidRPr="005379F2">
        <w:rPr>
          <w:rFonts w:ascii="Arial" w:hAnsi="Arial" w:cs="Arial"/>
          <w:i/>
          <w:iCs/>
          <w:sz w:val="20"/>
          <w:szCs w:val="20"/>
        </w:rPr>
        <w:t>Mawad</w:t>
      </w:r>
      <w:proofErr w:type="spellEnd"/>
      <w:r w:rsidRPr="005379F2">
        <w:rPr>
          <w:rFonts w:ascii="Arial" w:hAnsi="Arial" w:cs="Arial"/>
          <w:i/>
          <w:iCs/>
          <w:sz w:val="20"/>
          <w:szCs w:val="20"/>
        </w:rPr>
        <w:t xml:space="preserve"> [2015] NSWCCA 227 at 31)</w:t>
      </w:r>
    </w:p>
    <w:p w14:paraId="37644E98" w14:textId="77777777" w:rsidR="004C1E79" w:rsidRPr="00977A20" w:rsidRDefault="004C1E79" w:rsidP="00B92A4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215FBA" w14:paraId="7411C0FD" w14:textId="77777777" w:rsidTr="00215FBA">
        <w:trPr>
          <w:trHeight w:val="907"/>
        </w:trPr>
        <w:tc>
          <w:tcPr>
            <w:tcW w:w="9016" w:type="dxa"/>
            <w:shd w:val="clear" w:color="auto" w:fill="F2F2F2" w:themeFill="background1" w:themeFillShade="F2"/>
            <w:vAlign w:val="center"/>
          </w:tcPr>
          <w:p w14:paraId="100A3EA4" w14:textId="3637D3D8" w:rsidR="00215FBA" w:rsidRPr="00215FBA" w:rsidRDefault="00215FBA" w:rsidP="00215FBA">
            <w:pPr>
              <w:rPr>
                <w:rFonts w:ascii="Arial" w:hAnsi="Arial" w:cs="Arial"/>
                <w:b/>
                <w:bCs/>
                <w:iCs/>
                <w:sz w:val="20"/>
                <w:szCs w:val="20"/>
              </w:rPr>
            </w:pPr>
            <w:r w:rsidRPr="004C1E79">
              <w:rPr>
                <w:rFonts w:ascii="Arial" w:hAnsi="Arial" w:cs="Arial"/>
                <w:b/>
                <w:bCs/>
                <w:iCs/>
                <w:sz w:val="20"/>
                <w:szCs w:val="20"/>
              </w:rPr>
              <w:t>s18(1)(p)</w:t>
            </w:r>
            <w:r>
              <w:rPr>
                <w:rFonts w:ascii="Arial" w:hAnsi="Arial" w:cs="Arial"/>
                <w:b/>
                <w:bCs/>
                <w:iCs/>
                <w:sz w:val="20"/>
                <w:szCs w:val="20"/>
              </w:rPr>
              <w:t xml:space="preserve"> </w:t>
            </w:r>
            <w:r w:rsidRPr="004C1E79">
              <w:rPr>
                <w:rFonts w:ascii="Arial" w:hAnsi="Arial" w:cs="Arial"/>
                <w:b/>
                <w:bCs/>
                <w:iCs/>
                <w:sz w:val="20"/>
                <w:szCs w:val="20"/>
              </w:rPr>
              <w:t>Suggested bail conditions which address concern that the accused person will commit a serious offence or endanger the safety of victims, individuals or the community (see s20A for limits on imposing bail conditions)</w:t>
            </w:r>
          </w:p>
        </w:tc>
      </w:tr>
    </w:tbl>
    <w:p w14:paraId="4314A76C" w14:textId="77777777" w:rsidR="004C1E79" w:rsidRPr="00977A20" w:rsidRDefault="004C1E79" w:rsidP="00B92A4B">
      <w:pPr>
        <w:rPr>
          <w:rFonts w:ascii="Arial" w:hAnsi="Arial" w:cs="Arial"/>
          <w:sz w:val="20"/>
          <w:szCs w:val="20"/>
        </w:rPr>
      </w:pPr>
    </w:p>
    <w:p w14:paraId="0A67AF95" w14:textId="77777777" w:rsidR="004C1E79" w:rsidRDefault="004C1E79" w:rsidP="00B92A4B">
      <w:pPr>
        <w:pStyle w:val="Default"/>
        <w:numPr>
          <w:ilvl w:val="0"/>
          <w:numId w:val="6"/>
        </w:numPr>
        <w:ind w:left="567" w:hanging="436"/>
        <w:rPr>
          <w:rFonts w:ascii="Arial" w:hAnsi="Arial" w:cs="Arial"/>
          <w:b/>
          <w:color w:val="auto"/>
          <w:sz w:val="20"/>
          <w:szCs w:val="20"/>
        </w:rPr>
      </w:pPr>
      <w:r w:rsidRPr="00977A20">
        <w:rPr>
          <w:rFonts w:ascii="Arial" w:hAnsi="Arial" w:cs="Arial"/>
          <w:b/>
          <w:color w:val="auto"/>
          <w:sz w:val="20"/>
          <w:szCs w:val="20"/>
        </w:rPr>
        <w:t xml:space="preserve">Conduct requirements </w:t>
      </w:r>
    </w:p>
    <w:p w14:paraId="46C79655" w14:textId="77777777" w:rsidR="004C1E79" w:rsidRPr="00977A20" w:rsidRDefault="004C1E79" w:rsidP="00B92A4B">
      <w:pPr>
        <w:pStyle w:val="Default"/>
        <w:ind w:left="567" w:hanging="436"/>
        <w:rPr>
          <w:rFonts w:ascii="Arial" w:hAnsi="Arial" w:cs="Arial"/>
          <w:b/>
          <w:color w:val="auto"/>
          <w:sz w:val="20"/>
          <w:szCs w:val="20"/>
        </w:rPr>
      </w:pPr>
    </w:p>
    <w:p w14:paraId="71DF2559" w14:textId="77777777" w:rsidR="004C1E79" w:rsidRPr="00977A20" w:rsidRDefault="004C1E79" w:rsidP="00B92A4B">
      <w:pPr>
        <w:pStyle w:val="Default"/>
        <w:numPr>
          <w:ilvl w:val="0"/>
          <w:numId w:val="7"/>
        </w:numPr>
        <w:spacing w:after="37"/>
        <w:ind w:left="1701" w:hanging="436"/>
        <w:rPr>
          <w:rFonts w:ascii="Arial" w:hAnsi="Arial" w:cs="Arial"/>
          <w:color w:val="auto"/>
          <w:sz w:val="20"/>
          <w:szCs w:val="20"/>
        </w:rPr>
      </w:pPr>
      <w:r w:rsidRPr="00977A20">
        <w:rPr>
          <w:rFonts w:ascii="Arial" w:hAnsi="Arial" w:cs="Arial"/>
          <w:color w:val="auto"/>
          <w:sz w:val="20"/>
          <w:szCs w:val="20"/>
        </w:rPr>
        <w:t>Residence condition</w:t>
      </w:r>
    </w:p>
    <w:p w14:paraId="18A8CBCF" w14:textId="77777777" w:rsidR="004C1E79" w:rsidRPr="00977A20" w:rsidRDefault="004C1E79" w:rsidP="00B92A4B">
      <w:pPr>
        <w:pStyle w:val="Default"/>
        <w:numPr>
          <w:ilvl w:val="0"/>
          <w:numId w:val="7"/>
        </w:numPr>
        <w:spacing w:after="37"/>
        <w:ind w:left="1701" w:hanging="436"/>
        <w:rPr>
          <w:rFonts w:ascii="Arial" w:hAnsi="Arial" w:cs="Arial"/>
          <w:color w:val="auto"/>
          <w:sz w:val="20"/>
          <w:szCs w:val="20"/>
        </w:rPr>
      </w:pPr>
      <w:r w:rsidRPr="00977A20">
        <w:rPr>
          <w:rFonts w:ascii="Arial" w:hAnsi="Arial" w:cs="Arial"/>
          <w:color w:val="auto"/>
          <w:sz w:val="20"/>
          <w:szCs w:val="20"/>
        </w:rPr>
        <w:t xml:space="preserve">Comply with any AVO </w:t>
      </w:r>
    </w:p>
    <w:p w14:paraId="1E9F7D12" w14:textId="77777777" w:rsidR="004C1E79" w:rsidRPr="00977A20" w:rsidRDefault="004C1E79" w:rsidP="00B92A4B">
      <w:pPr>
        <w:pStyle w:val="Default"/>
        <w:numPr>
          <w:ilvl w:val="0"/>
          <w:numId w:val="7"/>
        </w:numPr>
        <w:spacing w:after="37"/>
        <w:ind w:left="1701" w:hanging="436"/>
        <w:rPr>
          <w:rFonts w:ascii="Arial" w:hAnsi="Arial" w:cs="Arial"/>
          <w:color w:val="auto"/>
          <w:sz w:val="20"/>
          <w:szCs w:val="20"/>
        </w:rPr>
      </w:pPr>
      <w:r w:rsidRPr="00977A20">
        <w:rPr>
          <w:rFonts w:ascii="Arial" w:hAnsi="Arial" w:cs="Arial"/>
          <w:color w:val="auto"/>
          <w:sz w:val="20"/>
          <w:szCs w:val="20"/>
        </w:rPr>
        <w:t>Curfew</w:t>
      </w:r>
    </w:p>
    <w:p w14:paraId="678DF035" w14:textId="77777777" w:rsidR="004C1E79" w:rsidRPr="00977A20" w:rsidRDefault="004C1E79" w:rsidP="00B92A4B">
      <w:pPr>
        <w:pStyle w:val="Default"/>
        <w:numPr>
          <w:ilvl w:val="0"/>
          <w:numId w:val="7"/>
        </w:numPr>
        <w:spacing w:after="37"/>
        <w:ind w:left="1701" w:hanging="436"/>
        <w:rPr>
          <w:rFonts w:ascii="Arial" w:hAnsi="Arial" w:cs="Arial"/>
          <w:color w:val="auto"/>
          <w:sz w:val="20"/>
          <w:szCs w:val="20"/>
        </w:rPr>
      </w:pPr>
      <w:r w:rsidRPr="00977A20">
        <w:rPr>
          <w:rFonts w:ascii="Arial" w:hAnsi="Arial" w:cs="Arial"/>
          <w:color w:val="auto"/>
          <w:sz w:val="20"/>
          <w:szCs w:val="20"/>
        </w:rPr>
        <w:t>Alcohol/drugs abstention condition</w:t>
      </w:r>
    </w:p>
    <w:p w14:paraId="4B4504D5" w14:textId="77777777" w:rsidR="004C1E79" w:rsidRPr="00977A20" w:rsidRDefault="004C1E79" w:rsidP="00B92A4B">
      <w:pPr>
        <w:pStyle w:val="Default"/>
        <w:numPr>
          <w:ilvl w:val="0"/>
          <w:numId w:val="7"/>
        </w:numPr>
        <w:spacing w:after="37"/>
        <w:ind w:left="1701" w:hanging="436"/>
        <w:rPr>
          <w:rFonts w:ascii="Arial" w:hAnsi="Arial" w:cs="Arial"/>
          <w:color w:val="auto"/>
          <w:sz w:val="20"/>
          <w:szCs w:val="20"/>
        </w:rPr>
      </w:pPr>
      <w:r w:rsidRPr="00977A20">
        <w:rPr>
          <w:rFonts w:ascii="Arial" w:hAnsi="Arial" w:cs="Arial"/>
          <w:color w:val="auto"/>
          <w:sz w:val="20"/>
          <w:szCs w:val="20"/>
        </w:rPr>
        <w:t xml:space="preserve">Non-association </w:t>
      </w:r>
    </w:p>
    <w:p w14:paraId="31D74894" w14:textId="232F2B0C" w:rsidR="004C1E79" w:rsidRDefault="004C1E79" w:rsidP="00B92A4B">
      <w:pPr>
        <w:pStyle w:val="Default"/>
        <w:numPr>
          <w:ilvl w:val="0"/>
          <w:numId w:val="7"/>
        </w:numPr>
        <w:ind w:left="1701" w:hanging="436"/>
        <w:rPr>
          <w:rFonts w:ascii="Arial" w:hAnsi="Arial" w:cs="Arial"/>
          <w:color w:val="auto"/>
          <w:sz w:val="20"/>
          <w:szCs w:val="20"/>
        </w:rPr>
      </w:pPr>
      <w:r w:rsidRPr="00977A20">
        <w:rPr>
          <w:rFonts w:ascii="Arial" w:hAnsi="Arial" w:cs="Arial"/>
          <w:color w:val="auto"/>
          <w:sz w:val="20"/>
          <w:szCs w:val="20"/>
        </w:rPr>
        <w:t xml:space="preserve">Place restriction </w:t>
      </w:r>
    </w:p>
    <w:p w14:paraId="63934220" w14:textId="77777777" w:rsidR="004C1E79" w:rsidRPr="00977A20" w:rsidRDefault="004C1E79" w:rsidP="00B92A4B">
      <w:pPr>
        <w:pStyle w:val="Default"/>
        <w:ind w:left="567" w:hanging="436"/>
        <w:rPr>
          <w:rFonts w:ascii="Arial" w:hAnsi="Arial" w:cs="Arial"/>
          <w:color w:val="auto"/>
          <w:sz w:val="20"/>
          <w:szCs w:val="20"/>
        </w:rPr>
      </w:pPr>
    </w:p>
    <w:p w14:paraId="2B083081" w14:textId="77777777" w:rsidR="004C1E79" w:rsidRDefault="004C1E79" w:rsidP="00B92A4B">
      <w:pPr>
        <w:pStyle w:val="Default"/>
        <w:numPr>
          <w:ilvl w:val="0"/>
          <w:numId w:val="6"/>
        </w:numPr>
        <w:spacing w:after="39"/>
        <w:ind w:left="567" w:hanging="436"/>
        <w:rPr>
          <w:rFonts w:ascii="Arial" w:hAnsi="Arial" w:cs="Arial"/>
          <w:color w:val="auto"/>
          <w:sz w:val="20"/>
          <w:szCs w:val="20"/>
        </w:rPr>
      </w:pPr>
      <w:r w:rsidRPr="00977A20">
        <w:rPr>
          <w:rFonts w:ascii="Arial" w:hAnsi="Arial" w:cs="Arial"/>
          <w:b/>
          <w:color w:val="auto"/>
          <w:sz w:val="20"/>
          <w:szCs w:val="20"/>
        </w:rPr>
        <w:t xml:space="preserve">Enforcement conditions </w:t>
      </w:r>
      <w:r w:rsidRPr="00977A20">
        <w:rPr>
          <w:rFonts w:ascii="Arial" w:hAnsi="Arial" w:cs="Arial"/>
          <w:color w:val="auto"/>
          <w:sz w:val="20"/>
          <w:szCs w:val="20"/>
        </w:rPr>
        <w:t>(NB must be requested by prosecution)</w:t>
      </w:r>
    </w:p>
    <w:p w14:paraId="74399D6D" w14:textId="77777777" w:rsidR="004C1E79" w:rsidRPr="00977A20" w:rsidRDefault="004C1E79" w:rsidP="00B92A4B">
      <w:pPr>
        <w:pStyle w:val="Default"/>
        <w:spacing w:after="39"/>
        <w:ind w:left="567" w:hanging="436"/>
        <w:rPr>
          <w:rFonts w:ascii="Arial" w:hAnsi="Arial" w:cs="Arial"/>
          <w:color w:val="auto"/>
          <w:sz w:val="20"/>
          <w:szCs w:val="20"/>
        </w:rPr>
      </w:pPr>
    </w:p>
    <w:p w14:paraId="61595342" w14:textId="77777777" w:rsidR="004C1E79" w:rsidRPr="00977A20" w:rsidRDefault="004C1E79" w:rsidP="00B92A4B">
      <w:pPr>
        <w:pStyle w:val="Default"/>
        <w:numPr>
          <w:ilvl w:val="0"/>
          <w:numId w:val="8"/>
        </w:numPr>
        <w:spacing w:after="39"/>
        <w:ind w:left="1701" w:hanging="425"/>
        <w:rPr>
          <w:rFonts w:ascii="Arial" w:hAnsi="Arial" w:cs="Arial"/>
          <w:color w:val="auto"/>
          <w:sz w:val="20"/>
          <w:szCs w:val="20"/>
        </w:rPr>
      </w:pPr>
      <w:r w:rsidRPr="00977A20">
        <w:rPr>
          <w:rFonts w:ascii="Arial" w:hAnsi="Arial" w:cs="Arial"/>
          <w:color w:val="auto"/>
          <w:sz w:val="20"/>
          <w:szCs w:val="20"/>
        </w:rPr>
        <w:t xml:space="preserve">Curfew check </w:t>
      </w:r>
    </w:p>
    <w:p w14:paraId="0E19F071" w14:textId="76DD27BA" w:rsidR="004C1E79" w:rsidRPr="0064404D" w:rsidRDefault="004C1E79" w:rsidP="00B92A4B">
      <w:pPr>
        <w:pStyle w:val="Default"/>
        <w:numPr>
          <w:ilvl w:val="0"/>
          <w:numId w:val="8"/>
        </w:numPr>
        <w:ind w:left="1701" w:hanging="425"/>
        <w:rPr>
          <w:rFonts w:ascii="Arial" w:hAnsi="Arial" w:cs="Arial"/>
          <w:color w:val="auto"/>
          <w:sz w:val="20"/>
          <w:szCs w:val="20"/>
        </w:rPr>
      </w:pPr>
      <w:r w:rsidRPr="00977A20">
        <w:rPr>
          <w:rFonts w:ascii="Arial" w:hAnsi="Arial" w:cs="Arial"/>
          <w:color w:val="auto"/>
          <w:sz w:val="20"/>
          <w:szCs w:val="20"/>
        </w:rPr>
        <w:lastRenderedPageBreak/>
        <w:t xml:space="preserve">Alcohol/drug test </w:t>
      </w:r>
    </w:p>
    <w:p w14:paraId="1429DC92" w14:textId="77777777" w:rsidR="004C1E79" w:rsidRPr="00977A20" w:rsidRDefault="004C1E79" w:rsidP="00B92A4B">
      <w:pPr>
        <w:rPr>
          <w:rFonts w:ascii="Arial" w:hAnsi="Arial" w:cs="Arial"/>
          <w:b/>
          <w:i/>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58"/>
      </w:tblGrid>
      <w:tr w:rsidR="00215FBA" w14:paraId="45CF0FE1" w14:textId="77777777" w:rsidTr="00215FBA">
        <w:trPr>
          <w:trHeight w:val="680"/>
        </w:trPr>
        <w:tc>
          <w:tcPr>
            <w:tcW w:w="9158" w:type="dxa"/>
            <w:shd w:val="clear" w:color="auto" w:fill="F2F2F2" w:themeFill="background1" w:themeFillShade="F2"/>
            <w:vAlign w:val="center"/>
          </w:tcPr>
          <w:p w14:paraId="5CB278BF" w14:textId="281E3E16" w:rsidR="00215FBA" w:rsidRDefault="00215FBA" w:rsidP="00215FBA">
            <w:pPr>
              <w:rPr>
                <w:rFonts w:ascii="Arial" w:hAnsi="Arial" w:cs="Arial"/>
                <w:b/>
                <w:iCs/>
                <w:sz w:val="20"/>
                <w:szCs w:val="20"/>
              </w:rPr>
            </w:pPr>
            <w:r w:rsidRPr="004C1E79">
              <w:rPr>
                <w:rFonts w:ascii="Arial" w:hAnsi="Arial" w:cs="Arial"/>
                <w:b/>
                <w:iCs/>
                <w:sz w:val="20"/>
                <w:szCs w:val="20"/>
              </w:rPr>
              <w:t>Relevant matters in assessing the s17(2)(d) concern that the accused person will interfere with witnesses or evidence</w:t>
            </w:r>
          </w:p>
        </w:tc>
      </w:tr>
    </w:tbl>
    <w:p w14:paraId="40432B20" w14:textId="77777777" w:rsidR="00215FBA" w:rsidRDefault="00215FBA" w:rsidP="00215FBA">
      <w:pPr>
        <w:rPr>
          <w:rFonts w:ascii="Arial" w:hAnsi="Arial" w:cs="Arial"/>
          <w:b/>
          <w:iCs/>
          <w:sz w:val="20"/>
          <w:szCs w:val="20"/>
        </w:rPr>
      </w:pPr>
    </w:p>
    <w:p w14:paraId="2DEEED02" w14:textId="77777777" w:rsidR="00215FBA" w:rsidRDefault="00215FBA" w:rsidP="00215FBA">
      <w:pPr>
        <w:rPr>
          <w:rFonts w:ascii="Arial" w:hAnsi="Arial" w:cs="Arial"/>
          <w:b/>
          <w:iCs/>
          <w:sz w:val="20"/>
          <w:szCs w:val="20"/>
        </w:rPr>
      </w:pPr>
    </w:p>
    <w:p w14:paraId="7AAECB68" w14:textId="77777777" w:rsidR="004C1E79" w:rsidRPr="00977A20" w:rsidRDefault="004C1E79" w:rsidP="00B92A4B">
      <w:pPr>
        <w:rPr>
          <w:rFonts w:ascii="Arial" w:hAnsi="Arial" w:cs="Arial"/>
          <w:sz w:val="20"/>
          <w:szCs w:val="20"/>
        </w:rPr>
      </w:pPr>
    </w:p>
    <w:p w14:paraId="1EBE3B83" w14:textId="77777777" w:rsidR="004C1E79" w:rsidRPr="00977A20" w:rsidRDefault="004C1E79" w:rsidP="00B92A4B">
      <w:pPr>
        <w:pStyle w:val="ListParagraph"/>
        <w:numPr>
          <w:ilvl w:val="0"/>
          <w:numId w:val="4"/>
        </w:numPr>
        <w:ind w:left="567" w:hanging="425"/>
        <w:rPr>
          <w:rFonts w:ascii="Arial" w:hAnsi="Arial" w:cs="Arial"/>
          <w:sz w:val="20"/>
          <w:szCs w:val="20"/>
        </w:rPr>
      </w:pPr>
      <w:r w:rsidRPr="00977A20">
        <w:rPr>
          <w:rFonts w:ascii="Arial" w:hAnsi="Arial" w:cs="Arial"/>
          <w:sz w:val="20"/>
          <w:szCs w:val="20"/>
          <w:shd w:val="clear" w:color="auto" w:fill="FFFFFF"/>
        </w:rPr>
        <w:t xml:space="preserve">s18(1)(n) </w:t>
      </w:r>
      <w:r w:rsidRPr="00977A20">
        <w:rPr>
          <w:rFonts w:ascii="Arial" w:hAnsi="Arial" w:cs="Arial"/>
          <w:sz w:val="20"/>
          <w:szCs w:val="20"/>
        </w:rPr>
        <w:t>The conduct of the accused person towards any victim of the offence, or any family member of a victim, after the offence (also consider prior offences of this type, this is a rare concern)</w:t>
      </w:r>
    </w:p>
    <w:p w14:paraId="02FDC545" w14:textId="77777777" w:rsidR="004C1E79" w:rsidRPr="00977A20" w:rsidRDefault="004C1E79" w:rsidP="00B92A4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215FBA" w14:paraId="262026CA" w14:textId="77777777" w:rsidTr="00215FBA">
        <w:trPr>
          <w:trHeight w:val="680"/>
        </w:trPr>
        <w:tc>
          <w:tcPr>
            <w:tcW w:w="9016" w:type="dxa"/>
            <w:shd w:val="clear" w:color="auto" w:fill="F2F2F2" w:themeFill="background1" w:themeFillShade="F2"/>
            <w:vAlign w:val="center"/>
          </w:tcPr>
          <w:p w14:paraId="78531381" w14:textId="10DD1F8B" w:rsidR="00215FBA" w:rsidRPr="00215FBA" w:rsidRDefault="00215FBA" w:rsidP="00215FBA">
            <w:pPr>
              <w:rPr>
                <w:rFonts w:ascii="Arial" w:hAnsi="Arial" w:cs="Arial"/>
                <w:b/>
                <w:bCs/>
                <w:iCs/>
                <w:sz w:val="20"/>
                <w:szCs w:val="20"/>
              </w:rPr>
            </w:pPr>
            <w:r w:rsidRPr="004C1E79">
              <w:rPr>
                <w:rFonts w:ascii="Arial" w:hAnsi="Arial" w:cs="Arial"/>
                <w:b/>
                <w:bCs/>
                <w:iCs/>
                <w:sz w:val="20"/>
                <w:szCs w:val="20"/>
              </w:rPr>
              <w:t>s18(1)(p)</w:t>
            </w:r>
            <w:r>
              <w:rPr>
                <w:rFonts w:ascii="Arial" w:hAnsi="Arial" w:cs="Arial"/>
                <w:b/>
                <w:bCs/>
                <w:iCs/>
                <w:sz w:val="20"/>
                <w:szCs w:val="20"/>
              </w:rPr>
              <w:t xml:space="preserve"> </w:t>
            </w:r>
            <w:r w:rsidRPr="004C1E79">
              <w:rPr>
                <w:rFonts w:ascii="Arial" w:hAnsi="Arial" w:cs="Arial"/>
                <w:b/>
                <w:bCs/>
                <w:iCs/>
                <w:sz w:val="20"/>
                <w:szCs w:val="20"/>
              </w:rPr>
              <w:t>Suggested bail conditions which address concern that the accused person will interfere with witnesses or evidence</w:t>
            </w:r>
          </w:p>
        </w:tc>
      </w:tr>
    </w:tbl>
    <w:p w14:paraId="78C8F1CD" w14:textId="77777777" w:rsidR="004C1E79" w:rsidRPr="00977A20" w:rsidRDefault="004C1E79" w:rsidP="00B92A4B">
      <w:pPr>
        <w:rPr>
          <w:rFonts w:ascii="Arial" w:hAnsi="Arial" w:cs="Arial"/>
          <w:i/>
          <w:sz w:val="20"/>
          <w:szCs w:val="20"/>
        </w:rPr>
      </w:pPr>
    </w:p>
    <w:p w14:paraId="4117722E" w14:textId="0C4B3CA9" w:rsidR="004C1E79" w:rsidRDefault="004C1E79" w:rsidP="00B92A4B">
      <w:pPr>
        <w:pStyle w:val="Default"/>
        <w:rPr>
          <w:rFonts w:ascii="Arial" w:hAnsi="Arial" w:cs="Arial"/>
          <w:b/>
          <w:bCs/>
          <w:color w:val="auto"/>
          <w:sz w:val="20"/>
          <w:szCs w:val="20"/>
        </w:rPr>
      </w:pPr>
      <w:r w:rsidRPr="00977A20">
        <w:rPr>
          <w:rFonts w:ascii="Arial" w:hAnsi="Arial" w:cs="Arial"/>
          <w:b/>
          <w:bCs/>
          <w:color w:val="auto"/>
          <w:sz w:val="20"/>
          <w:szCs w:val="20"/>
        </w:rPr>
        <w:t xml:space="preserve">Conduct conditions </w:t>
      </w:r>
    </w:p>
    <w:p w14:paraId="3D62D6D8" w14:textId="77777777" w:rsidR="004C1E79" w:rsidRPr="00977A20" w:rsidRDefault="004C1E79" w:rsidP="00B92A4B">
      <w:pPr>
        <w:pStyle w:val="Default"/>
        <w:ind w:left="1701" w:hanging="425"/>
        <w:rPr>
          <w:rFonts w:ascii="Arial" w:hAnsi="Arial" w:cs="Arial"/>
          <w:b/>
          <w:bCs/>
          <w:color w:val="auto"/>
          <w:sz w:val="20"/>
          <w:szCs w:val="20"/>
        </w:rPr>
      </w:pPr>
    </w:p>
    <w:p w14:paraId="3B8425C7" w14:textId="6632C0B5" w:rsidR="004C1E79" w:rsidRPr="00977A20" w:rsidRDefault="004C1E79" w:rsidP="00B92A4B">
      <w:pPr>
        <w:pStyle w:val="Default"/>
        <w:numPr>
          <w:ilvl w:val="0"/>
          <w:numId w:val="11"/>
        </w:numPr>
        <w:spacing w:after="39"/>
        <w:ind w:left="1701" w:hanging="425"/>
        <w:rPr>
          <w:rFonts w:ascii="Arial" w:hAnsi="Arial" w:cs="Arial"/>
          <w:color w:val="auto"/>
          <w:sz w:val="20"/>
          <w:szCs w:val="20"/>
        </w:rPr>
      </w:pPr>
      <w:r w:rsidRPr="00977A20">
        <w:rPr>
          <w:rFonts w:ascii="Arial" w:hAnsi="Arial" w:cs="Arial"/>
          <w:color w:val="auto"/>
          <w:sz w:val="20"/>
          <w:szCs w:val="20"/>
        </w:rPr>
        <w:t xml:space="preserve">Comply with any AVO </w:t>
      </w:r>
    </w:p>
    <w:p w14:paraId="57AA1FAE" w14:textId="4796FE1D" w:rsidR="004C1E79" w:rsidRPr="00977A20" w:rsidRDefault="004C1E79" w:rsidP="00B92A4B">
      <w:pPr>
        <w:pStyle w:val="Default"/>
        <w:numPr>
          <w:ilvl w:val="0"/>
          <w:numId w:val="11"/>
        </w:numPr>
        <w:ind w:left="1701" w:hanging="425"/>
        <w:rPr>
          <w:rFonts w:ascii="Arial" w:hAnsi="Arial" w:cs="Arial"/>
          <w:color w:val="auto"/>
          <w:sz w:val="20"/>
          <w:szCs w:val="20"/>
        </w:rPr>
      </w:pPr>
      <w:r w:rsidRPr="00977A20">
        <w:rPr>
          <w:rFonts w:ascii="Arial" w:hAnsi="Arial" w:cs="Arial"/>
          <w:color w:val="auto"/>
          <w:sz w:val="20"/>
          <w:szCs w:val="20"/>
        </w:rPr>
        <w:t xml:space="preserve">Contact prohibition </w:t>
      </w:r>
    </w:p>
    <w:p w14:paraId="348E2EA1" w14:textId="069F8245" w:rsidR="004C1E79" w:rsidRPr="00977A20" w:rsidRDefault="004C1E79" w:rsidP="00B92A4B">
      <w:pPr>
        <w:pStyle w:val="Default"/>
        <w:numPr>
          <w:ilvl w:val="0"/>
          <w:numId w:val="11"/>
        </w:numPr>
        <w:ind w:left="1701" w:hanging="425"/>
        <w:rPr>
          <w:rFonts w:ascii="Arial" w:hAnsi="Arial" w:cs="Arial"/>
          <w:color w:val="auto"/>
          <w:sz w:val="20"/>
          <w:szCs w:val="20"/>
        </w:rPr>
      </w:pPr>
      <w:r w:rsidRPr="00977A20">
        <w:rPr>
          <w:rFonts w:ascii="Arial" w:hAnsi="Arial" w:cs="Arial"/>
          <w:color w:val="auto"/>
          <w:sz w:val="20"/>
          <w:szCs w:val="20"/>
        </w:rPr>
        <w:t>Non-contact with any prosecution witness</w:t>
      </w:r>
    </w:p>
    <w:p w14:paraId="3E912376" w14:textId="038F0A76" w:rsidR="009203AD" w:rsidRDefault="009203AD" w:rsidP="00B92A4B"/>
    <w:p w14:paraId="2191010C" w14:textId="52E1FB55" w:rsidR="00D24A06" w:rsidRDefault="00D24A06" w:rsidP="00B92A4B"/>
    <w:p w14:paraId="4273BAC7" w14:textId="6CD14865" w:rsidR="00D24A06" w:rsidRDefault="00D24A06" w:rsidP="00B92A4B"/>
    <w:p w14:paraId="33D33E4F" w14:textId="4A0A1AAA" w:rsidR="00D24A06" w:rsidRDefault="00D24A06" w:rsidP="00B92A4B"/>
    <w:p w14:paraId="00ADCDEB" w14:textId="26C161E7" w:rsidR="00D24A06" w:rsidRDefault="00D24A06" w:rsidP="00B92A4B"/>
    <w:p w14:paraId="63D590DE" w14:textId="1323719A" w:rsidR="00D24A06" w:rsidRDefault="00D24A06" w:rsidP="00B92A4B"/>
    <w:p w14:paraId="51C9CDC0" w14:textId="45E7306B" w:rsidR="00D24A06" w:rsidRDefault="00D24A06" w:rsidP="00B92A4B"/>
    <w:p w14:paraId="51394167" w14:textId="77777777" w:rsidR="00D24A06" w:rsidRDefault="00D24A06" w:rsidP="00B92A4B"/>
    <w:sectPr w:rsidR="00D24A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9E35" w14:textId="77777777" w:rsidR="00F44488" w:rsidRDefault="00F44488" w:rsidP="00A46495">
      <w:r>
        <w:separator/>
      </w:r>
    </w:p>
  </w:endnote>
  <w:endnote w:type="continuationSeparator" w:id="0">
    <w:p w14:paraId="6E749DFC" w14:textId="77777777" w:rsidR="00F44488" w:rsidRDefault="00F44488" w:rsidP="00A4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BEDF" w14:textId="64C44787" w:rsidR="00A46495" w:rsidRDefault="00A46495" w:rsidP="00A46495">
    <w:pPr>
      <w:pStyle w:val="Footer"/>
      <w:tabs>
        <w:tab w:val="clear" w:pos="4513"/>
        <w:tab w:val="left" w:pos="240"/>
        <w:tab w:val="left" w:pos="4980"/>
      </w:tabs>
      <w:rPr>
        <w:rFonts w:ascii="Arial" w:hAnsi="Arial" w:cs="Arial"/>
        <w:sz w:val="16"/>
        <w:szCs w:val="16"/>
      </w:rPr>
    </w:pPr>
    <w:r>
      <w:rPr>
        <w:rFonts w:ascii="Arial" w:hAnsi="Arial" w:cs="Arial"/>
        <w:sz w:val="16"/>
        <w:szCs w:val="16"/>
      </w:rPr>
      <w:tab/>
    </w:r>
    <w:r>
      <w:rPr>
        <w:rFonts w:ascii="Arial" w:hAnsi="Arial" w:cs="Arial"/>
        <w:sz w:val="16"/>
        <w:szCs w:val="16"/>
      </w:rPr>
      <w:tab/>
    </w:r>
    <w:r w:rsidRPr="00A46495">
      <w:rPr>
        <w:rFonts w:ascii="Arial" w:hAnsi="Arial" w:cs="Arial"/>
        <w:sz w:val="16"/>
        <w:szCs w:val="16"/>
      </w:rPr>
      <w:tab/>
    </w:r>
    <w:r w:rsidRPr="00A46495">
      <w:rPr>
        <w:rFonts w:ascii="Arial" w:hAnsi="Arial" w:cs="Arial"/>
        <w:sz w:val="16"/>
        <w:szCs w:val="16"/>
      </w:rPr>
      <w:tab/>
    </w:r>
    <w:r>
      <w:rPr>
        <w:rFonts w:ascii="Arial" w:hAnsi="Arial" w:cs="Arial"/>
        <w:sz w:val="16"/>
        <w:szCs w:val="16"/>
      </w:rPr>
      <w:t>September 2020</w:t>
    </w:r>
    <w:r>
      <w:rPr>
        <w:rFonts w:ascii="Arial" w:hAnsi="Arial" w:cs="Arial"/>
        <w:sz w:val="16"/>
        <w:szCs w:val="16"/>
      </w:rPr>
      <w:tab/>
    </w:r>
    <w:r>
      <w:rPr>
        <w:rFonts w:ascii="Arial" w:hAnsi="Arial" w:cs="Arial"/>
        <w:sz w:val="16"/>
        <w:szCs w:val="16"/>
      </w:rPr>
      <w:tab/>
    </w:r>
    <w:r w:rsidRPr="00A46495">
      <w:rPr>
        <w:rFonts w:ascii="Arial" w:hAnsi="Arial" w:cs="Arial"/>
        <w:sz w:val="16"/>
        <w:szCs w:val="16"/>
      </w:rPr>
      <w:t>Dominic Smith, Legal Aid NSW</w:t>
    </w:r>
  </w:p>
  <w:p w14:paraId="7402B8C4" w14:textId="0EF77B0A" w:rsidR="00A46495" w:rsidRPr="00A46495" w:rsidRDefault="00A46495" w:rsidP="00A46495">
    <w:pPr>
      <w:pStyle w:val="Footer"/>
      <w:tabs>
        <w:tab w:val="clear" w:pos="4513"/>
        <w:tab w:val="clear" w:pos="9026"/>
        <w:tab w:val="left" w:pos="4980"/>
      </w:tabs>
      <w:jc w:val="right"/>
      <w:rPr>
        <w:rFonts w:ascii="Arial" w:hAnsi="Arial"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3821" w14:textId="77777777" w:rsidR="00F44488" w:rsidRDefault="00F44488" w:rsidP="00A46495">
      <w:r>
        <w:separator/>
      </w:r>
    </w:p>
  </w:footnote>
  <w:footnote w:type="continuationSeparator" w:id="0">
    <w:p w14:paraId="18F70536" w14:textId="77777777" w:rsidR="00F44488" w:rsidRDefault="00F44488" w:rsidP="00A4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5CFC" w14:textId="515D5B53" w:rsidR="00A46495" w:rsidRPr="00A46495" w:rsidRDefault="00A46495">
    <w:pPr>
      <w:pStyle w:val="Header"/>
      <w:rPr>
        <w:rFonts w:ascii="Arial" w:hAnsi="Arial" w:cs="Arial"/>
        <w:i/>
        <w:i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C3A"/>
    <w:multiLevelType w:val="hybridMultilevel"/>
    <w:tmpl w:val="B46AD8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34CC3"/>
    <w:multiLevelType w:val="hybridMultilevel"/>
    <w:tmpl w:val="4E30F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D65C5"/>
    <w:multiLevelType w:val="hybridMultilevel"/>
    <w:tmpl w:val="FF864E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A06250"/>
    <w:multiLevelType w:val="hybridMultilevel"/>
    <w:tmpl w:val="06C29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75FD1"/>
    <w:multiLevelType w:val="hybridMultilevel"/>
    <w:tmpl w:val="5F6AD8B8"/>
    <w:lvl w:ilvl="0" w:tplc="08445B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075AD5"/>
    <w:multiLevelType w:val="hybridMultilevel"/>
    <w:tmpl w:val="BEC2A73E"/>
    <w:lvl w:ilvl="0" w:tplc="6EB23D1C">
      <w:start w:val="50"/>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56FE28DC"/>
    <w:multiLevelType w:val="hybridMultilevel"/>
    <w:tmpl w:val="92DEBB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4E5DD5"/>
    <w:multiLevelType w:val="hybridMultilevel"/>
    <w:tmpl w:val="1E9C9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8018B8"/>
    <w:multiLevelType w:val="hybridMultilevel"/>
    <w:tmpl w:val="040EE7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77DD5"/>
    <w:multiLevelType w:val="hybridMultilevel"/>
    <w:tmpl w:val="8CF659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39BE"/>
    <w:multiLevelType w:val="hybridMultilevel"/>
    <w:tmpl w:val="4C861006"/>
    <w:lvl w:ilvl="0" w:tplc="27540B34">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4A5889"/>
    <w:multiLevelType w:val="hybridMultilevel"/>
    <w:tmpl w:val="B246A9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4997861">
    <w:abstractNumId w:val="5"/>
  </w:num>
  <w:num w:numId="2" w16cid:durableId="1224369463">
    <w:abstractNumId w:val="1"/>
  </w:num>
  <w:num w:numId="3" w16cid:durableId="796870064">
    <w:abstractNumId w:val="3"/>
  </w:num>
  <w:num w:numId="4" w16cid:durableId="754479367">
    <w:abstractNumId w:val="7"/>
  </w:num>
  <w:num w:numId="5" w16cid:durableId="2099980575">
    <w:abstractNumId w:val="0"/>
  </w:num>
  <w:num w:numId="6" w16cid:durableId="1091704529">
    <w:abstractNumId w:val="10"/>
  </w:num>
  <w:num w:numId="7" w16cid:durableId="1582255602">
    <w:abstractNumId w:val="9"/>
  </w:num>
  <w:num w:numId="8" w16cid:durableId="281613170">
    <w:abstractNumId w:val="11"/>
  </w:num>
  <w:num w:numId="9" w16cid:durableId="1989089851">
    <w:abstractNumId w:val="8"/>
  </w:num>
  <w:num w:numId="10" w16cid:durableId="1270510461">
    <w:abstractNumId w:val="2"/>
  </w:num>
  <w:num w:numId="11" w16cid:durableId="516430211">
    <w:abstractNumId w:val="6"/>
  </w:num>
  <w:num w:numId="12" w16cid:durableId="126133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79"/>
    <w:rsid w:val="000A41B3"/>
    <w:rsid w:val="000E0350"/>
    <w:rsid w:val="00215FBA"/>
    <w:rsid w:val="00233BF6"/>
    <w:rsid w:val="004C1E79"/>
    <w:rsid w:val="005379F2"/>
    <w:rsid w:val="0059157A"/>
    <w:rsid w:val="00625870"/>
    <w:rsid w:val="0064404D"/>
    <w:rsid w:val="006C19F9"/>
    <w:rsid w:val="00776104"/>
    <w:rsid w:val="00827CE2"/>
    <w:rsid w:val="009018FE"/>
    <w:rsid w:val="009203AD"/>
    <w:rsid w:val="00967EFF"/>
    <w:rsid w:val="00982435"/>
    <w:rsid w:val="00A038E4"/>
    <w:rsid w:val="00A46495"/>
    <w:rsid w:val="00B85999"/>
    <w:rsid w:val="00B92A4B"/>
    <w:rsid w:val="00D24A06"/>
    <w:rsid w:val="00F44488"/>
    <w:rsid w:val="00FB0573"/>
    <w:rsid w:val="00FD1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33E20"/>
  <w15:chartTrackingRefBased/>
  <w15:docId w15:val="{E7A78148-59E9-435C-89EE-98CB491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7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79"/>
    <w:pPr>
      <w:ind w:left="720"/>
      <w:contextualSpacing/>
    </w:pPr>
  </w:style>
  <w:style w:type="paragraph" w:customStyle="1" w:styleId="Default">
    <w:name w:val="Default"/>
    <w:rsid w:val="004C1E7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1E79"/>
    <w:rPr>
      <w:b/>
      <w:bCs/>
    </w:rPr>
  </w:style>
  <w:style w:type="character" w:styleId="Hyperlink">
    <w:name w:val="Hyperlink"/>
    <w:basedOn w:val="DefaultParagraphFont"/>
    <w:uiPriority w:val="99"/>
    <w:semiHidden/>
    <w:unhideWhenUsed/>
    <w:rsid w:val="004C1E79"/>
    <w:rPr>
      <w:color w:val="0000FF"/>
      <w:u w:val="single"/>
    </w:rPr>
  </w:style>
  <w:style w:type="paragraph" w:styleId="Header">
    <w:name w:val="header"/>
    <w:basedOn w:val="Normal"/>
    <w:link w:val="HeaderChar"/>
    <w:uiPriority w:val="99"/>
    <w:unhideWhenUsed/>
    <w:rsid w:val="00A46495"/>
    <w:pPr>
      <w:tabs>
        <w:tab w:val="center" w:pos="4513"/>
        <w:tab w:val="right" w:pos="9026"/>
      </w:tabs>
    </w:pPr>
  </w:style>
  <w:style w:type="character" w:customStyle="1" w:styleId="HeaderChar">
    <w:name w:val="Header Char"/>
    <w:basedOn w:val="DefaultParagraphFont"/>
    <w:link w:val="Header"/>
    <w:uiPriority w:val="99"/>
    <w:rsid w:val="00A46495"/>
    <w:rPr>
      <w:rFonts w:eastAsiaTheme="minorEastAsia"/>
      <w:sz w:val="24"/>
      <w:szCs w:val="24"/>
      <w:lang w:val="en-US"/>
    </w:rPr>
  </w:style>
  <w:style w:type="paragraph" w:styleId="Footer">
    <w:name w:val="footer"/>
    <w:basedOn w:val="Normal"/>
    <w:link w:val="FooterChar"/>
    <w:uiPriority w:val="99"/>
    <w:unhideWhenUsed/>
    <w:rsid w:val="00A46495"/>
    <w:pPr>
      <w:tabs>
        <w:tab w:val="center" w:pos="4513"/>
        <w:tab w:val="right" w:pos="9026"/>
      </w:tabs>
    </w:pPr>
  </w:style>
  <w:style w:type="character" w:customStyle="1" w:styleId="FooterChar">
    <w:name w:val="Footer Char"/>
    <w:basedOn w:val="DefaultParagraphFont"/>
    <w:link w:val="Footer"/>
    <w:uiPriority w:val="99"/>
    <w:rsid w:val="00A46495"/>
    <w:rPr>
      <w:rFonts w:eastAsiaTheme="minorEastAsia"/>
      <w:sz w:val="24"/>
      <w:szCs w:val="24"/>
      <w:lang w:val="en-US"/>
    </w:rPr>
  </w:style>
  <w:style w:type="table" w:styleId="TableGrid">
    <w:name w:val="Table Grid"/>
    <w:basedOn w:val="TableNormal"/>
    <w:uiPriority w:val="39"/>
    <w:rsid w:val="00D2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FBA"/>
    <w:rPr>
      <w:sz w:val="16"/>
      <w:szCs w:val="16"/>
    </w:rPr>
  </w:style>
  <w:style w:type="paragraph" w:styleId="CommentText">
    <w:name w:val="annotation text"/>
    <w:basedOn w:val="Normal"/>
    <w:link w:val="CommentTextChar"/>
    <w:uiPriority w:val="99"/>
    <w:semiHidden/>
    <w:unhideWhenUsed/>
    <w:rsid w:val="00215FBA"/>
    <w:rPr>
      <w:sz w:val="20"/>
      <w:szCs w:val="20"/>
    </w:rPr>
  </w:style>
  <w:style w:type="character" w:customStyle="1" w:styleId="CommentTextChar">
    <w:name w:val="Comment Text Char"/>
    <w:basedOn w:val="DefaultParagraphFont"/>
    <w:link w:val="CommentText"/>
    <w:uiPriority w:val="99"/>
    <w:semiHidden/>
    <w:rsid w:val="00215FB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15FBA"/>
    <w:rPr>
      <w:b/>
      <w:bCs/>
    </w:rPr>
  </w:style>
  <w:style w:type="character" w:customStyle="1" w:styleId="CommentSubjectChar">
    <w:name w:val="Comment Subject Char"/>
    <w:basedOn w:val="CommentTextChar"/>
    <w:link w:val="CommentSubject"/>
    <w:uiPriority w:val="99"/>
    <w:semiHidden/>
    <w:rsid w:val="00215FBA"/>
    <w:rPr>
      <w:rFonts w:eastAsiaTheme="minorEastAsia"/>
      <w:b/>
      <w:bCs/>
      <w:sz w:val="20"/>
      <w:szCs w:val="20"/>
      <w:lang w:val="en-US"/>
    </w:rPr>
  </w:style>
  <w:style w:type="paragraph" w:styleId="BalloonText">
    <w:name w:val="Balloon Text"/>
    <w:basedOn w:val="Normal"/>
    <w:link w:val="BalloonTextChar"/>
    <w:uiPriority w:val="99"/>
    <w:semiHidden/>
    <w:unhideWhenUsed/>
    <w:rsid w:val="0021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B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Carlisle, Rebecca</dc:creator>
  <cp:keywords/>
  <dc:description/>
  <cp:lastModifiedBy>Atsu, Bernice</cp:lastModifiedBy>
  <cp:revision>2</cp:revision>
  <dcterms:created xsi:type="dcterms:W3CDTF">2023-04-19T04:16:00Z</dcterms:created>
  <dcterms:modified xsi:type="dcterms:W3CDTF">2023-04-19T04:16:00Z</dcterms:modified>
</cp:coreProperties>
</file>